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12968">
      <w:pPr>
        <w:spacing w:line="360" w:lineRule="auto"/>
        <w:jc w:val="left"/>
        <w:rPr>
          <w:rFonts w:ascii="Times New Roman" w:hAnsi="Times New Roman" w:eastAsia="仿宋" w:cs="Times New Roman"/>
          <w:b/>
          <w:bCs/>
          <w:color w:val="000000" w:themeColor="text1"/>
          <w:kern w:val="24"/>
          <w:sz w:val="30"/>
          <w:szCs w:val="30"/>
          <w:highlight w:val="none"/>
          <w14:textFill>
            <w14:solidFill>
              <w14:schemeClr w14:val="tx1"/>
            </w14:solidFill>
          </w14:textFill>
        </w:rPr>
      </w:pPr>
    </w:p>
    <w:p w14:paraId="5D5B5B09">
      <w:pPr>
        <w:spacing w:line="360" w:lineRule="auto"/>
        <w:jc w:val="left"/>
        <w:rPr>
          <w:rFonts w:ascii="Times New Roman" w:hAnsi="Times New Roman" w:eastAsia="仿宋" w:cs="Times New Roman"/>
          <w:b/>
          <w:bCs/>
          <w:color w:val="000000" w:themeColor="text1"/>
          <w:kern w:val="24"/>
          <w:sz w:val="30"/>
          <w:szCs w:val="30"/>
          <w:highlight w:val="none"/>
          <w14:textFill>
            <w14:solidFill>
              <w14:schemeClr w14:val="tx1"/>
            </w14:solidFill>
          </w14:textFill>
        </w:rPr>
      </w:pPr>
    </w:p>
    <w:p w14:paraId="14C05FB5">
      <w:pPr>
        <w:spacing w:line="360" w:lineRule="auto"/>
        <w:jc w:val="center"/>
        <w:rPr>
          <w:rFonts w:ascii="Times New Roman" w:hAnsi="Times New Roman" w:eastAsia="黑体" w:cs="Times New Roman"/>
          <w:b/>
          <w:bCs/>
          <w:color w:val="000000" w:themeColor="text1"/>
          <w:kern w:val="24"/>
          <w:sz w:val="48"/>
          <w:szCs w:val="48"/>
          <w:highlight w:val="none"/>
          <w14:textFill>
            <w14:solidFill>
              <w14:schemeClr w14:val="tx1"/>
            </w14:solidFill>
          </w14:textFill>
        </w:rPr>
      </w:pPr>
      <w:r>
        <w:rPr>
          <w:rFonts w:ascii="Times New Roman" w:hAnsi="Times New Roman" w:eastAsia="黑体" w:cs="Times New Roman"/>
          <w:b/>
          <w:bCs/>
          <w:color w:val="000000" w:themeColor="text1"/>
          <w:kern w:val="24"/>
          <w:sz w:val="48"/>
          <w:szCs w:val="48"/>
          <w:highlight w:val="none"/>
          <w14:textFill>
            <w14:solidFill>
              <w14:schemeClr w14:val="tx1"/>
            </w14:solidFill>
          </w14:textFill>
        </w:rPr>
        <w:t>202</w:t>
      </w:r>
      <w:r>
        <w:rPr>
          <w:rFonts w:hint="eastAsia" w:ascii="Times New Roman" w:hAnsi="Times New Roman" w:eastAsia="黑体" w:cs="Times New Roman"/>
          <w:b/>
          <w:bCs/>
          <w:color w:val="000000" w:themeColor="text1"/>
          <w:kern w:val="24"/>
          <w:sz w:val="48"/>
          <w:szCs w:val="48"/>
          <w:highlight w:val="none"/>
          <w:lang w:val="en-US" w:eastAsia="zh-CN"/>
          <w14:textFill>
            <w14:solidFill>
              <w14:schemeClr w14:val="tx1"/>
            </w14:solidFill>
          </w14:textFill>
        </w:rPr>
        <w:t>4</w:t>
      </w:r>
      <w:r>
        <w:rPr>
          <w:rFonts w:ascii="Times New Roman" w:hAnsi="Times New Roman" w:eastAsia="黑体" w:cs="Times New Roman"/>
          <w:b/>
          <w:bCs/>
          <w:color w:val="000000" w:themeColor="text1"/>
          <w:kern w:val="24"/>
          <w:sz w:val="48"/>
          <w:szCs w:val="48"/>
          <w:highlight w:val="none"/>
          <w14:textFill>
            <w14:solidFill>
              <w14:schemeClr w14:val="tx1"/>
            </w14:solidFill>
          </w14:textFill>
        </w:rPr>
        <w:t>年度企业社会责任报告</w:t>
      </w:r>
    </w:p>
    <w:p w14:paraId="5568263D">
      <w:pPr>
        <w:spacing w:line="360" w:lineRule="auto"/>
        <w:jc w:val="both"/>
        <w:rPr>
          <w:rFonts w:ascii="Times New Roman" w:hAnsi="Times New Roman" w:eastAsia="黑体" w:cs="Times New Roman"/>
          <w:b/>
          <w:bCs/>
          <w:color w:val="000000" w:themeColor="text1"/>
          <w:kern w:val="24"/>
          <w:sz w:val="44"/>
          <w:szCs w:val="44"/>
          <w:highlight w:val="none"/>
          <w14:textFill>
            <w14:solidFill>
              <w14:schemeClr w14:val="tx1"/>
            </w14:solidFill>
          </w14:textFill>
        </w:rPr>
      </w:pPr>
    </w:p>
    <w:p w14:paraId="79E0B9FD">
      <w:pPr>
        <w:spacing w:line="360" w:lineRule="auto"/>
        <w:jc w:val="center"/>
        <w:rPr>
          <w:rFonts w:ascii="Times New Roman" w:hAnsi="Times New Roman" w:eastAsia="黑体" w:cs="Times New Roman"/>
          <w:b/>
          <w:bCs/>
          <w:color w:val="000000" w:themeColor="text1"/>
          <w:kern w:val="24"/>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335905" cy="5230495"/>
            <wp:effectExtent l="0" t="0" r="17145" b="8255"/>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6"/>
                    <a:srcRect l="9099" t="5260" r="18020"/>
                    <a:stretch>
                      <a:fillRect/>
                    </a:stretch>
                  </pic:blipFill>
                  <pic:spPr>
                    <a:xfrm>
                      <a:off x="0" y="0"/>
                      <a:ext cx="5335905" cy="5230495"/>
                    </a:xfrm>
                    <a:prstGeom prst="rect">
                      <a:avLst/>
                    </a:prstGeom>
                  </pic:spPr>
                </pic:pic>
              </a:graphicData>
            </a:graphic>
          </wp:inline>
        </w:drawing>
      </w:r>
    </w:p>
    <w:p w14:paraId="36CC0AAC">
      <w:pPr>
        <w:spacing w:line="360" w:lineRule="auto"/>
        <w:jc w:val="center"/>
        <w:rPr>
          <w:rFonts w:hint="eastAsia" w:ascii="Times New Roman" w:hAnsi="Times New Roman" w:eastAsia="黑体" w:cs="Times New Roman"/>
          <w:b/>
          <w:bCs/>
          <w:color w:val="000000" w:themeColor="text1"/>
          <w:kern w:val="24"/>
          <w:sz w:val="44"/>
          <w:szCs w:val="44"/>
          <w:highlight w:val="none"/>
          <w14:textFill>
            <w14:solidFill>
              <w14:schemeClr w14:val="tx1"/>
            </w14:solidFill>
          </w14:textFill>
        </w:rPr>
      </w:pPr>
    </w:p>
    <w:p w14:paraId="3D4C0E54">
      <w:pPr>
        <w:spacing w:line="720" w:lineRule="auto"/>
        <w:jc w:val="center"/>
        <w:rPr>
          <w:rFonts w:hint="eastAsia" w:ascii="Times New Roman" w:hAnsi="Times New Roman" w:eastAsia="黑体" w:cs="Times New Roman"/>
          <w:bCs/>
          <w:color w:val="000000" w:themeColor="text1"/>
          <w:kern w:val="24"/>
          <w:sz w:val="48"/>
          <w:szCs w:val="48"/>
          <w:highlight w:val="none"/>
          <w:lang w:eastAsia="zh-CN"/>
          <w14:textFill>
            <w14:solidFill>
              <w14:schemeClr w14:val="tx1"/>
            </w14:solidFill>
          </w14:textFill>
        </w:rPr>
      </w:pPr>
      <w:r>
        <w:rPr>
          <w:rFonts w:hint="eastAsia" w:ascii="Times New Roman" w:hAnsi="Times New Roman" w:eastAsia="黑体" w:cs="Times New Roman"/>
          <w:bCs/>
          <w:color w:val="000000" w:themeColor="text1"/>
          <w:kern w:val="24"/>
          <w:sz w:val="48"/>
          <w:szCs w:val="48"/>
          <w:highlight w:val="none"/>
          <w:lang w:eastAsia="zh-CN"/>
          <w14:textFill>
            <w14:solidFill>
              <w14:schemeClr w14:val="tx1"/>
            </w14:solidFill>
          </w14:textFill>
        </w:rPr>
        <w:t>江苏龙东新材料有限公司</w:t>
      </w:r>
    </w:p>
    <w:p w14:paraId="29CE8A41">
      <w:pPr>
        <w:spacing w:line="720" w:lineRule="auto"/>
        <w:jc w:val="center"/>
        <w:rPr>
          <w:rFonts w:ascii="Times New Roman" w:hAnsi="Times New Roman" w:eastAsia="黑体" w:cs="Times New Roman"/>
          <w:bCs/>
          <w:color w:val="000000" w:themeColor="text1"/>
          <w:kern w:val="24"/>
          <w:sz w:val="48"/>
          <w:szCs w:val="48"/>
          <w:highlight w:val="none"/>
          <w14:textFill>
            <w14:solidFill>
              <w14:schemeClr w14:val="tx1"/>
            </w14:solidFill>
          </w14:textFill>
        </w:rPr>
      </w:pPr>
      <w:r>
        <w:rPr>
          <w:rFonts w:hint="eastAsia" w:ascii="Times New Roman" w:hAnsi="Times New Roman" w:eastAsia="黑体" w:cs="Times New Roman"/>
          <w:bCs/>
          <w:color w:val="000000" w:themeColor="text1"/>
          <w:kern w:val="24"/>
          <w:sz w:val="48"/>
          <w:szCs w:val="48"/>
          <w:highlight w:val="none"/>
          <w:lang w:eastAsia="zh-CN"/>
          <w14:textFill>
            <w14:solidFill>
              <w14:schemeClr w14:val="tx1"/>
            </w14:solidFill>
          </w14:textFill>
        </w:rPr>
        <w:t>二○二</w:t>
      </w:r>
      <w:r>
        <w:rPr>
          <w:rFonts w:hint="eastAsia" w:ascii="Times New Roman" w:hAnsi="Times New Roman" w:eastAsia="黑体" w:cs="Times New Roman"/>
          <w:bCs/>
          <w:color w:val="000000" w:themeColor="text1"/>
          <w:kern w:val="24"/>
          <w:sz w:val="48"/>
          <w:szCs w:val="48"/>
          <w:highlight w:val="none"/>
          <w:lang w:val="en-US" w:eastAsia="zh-CN"/>
          <w14:textFill>
            <w14:solidFill>
              <w14:schemeClr w14:val="tx1"/>
            </w14:solidFill>
          </w14:textFill>
        </w:rPr>
        <w:t>五</w:t>
      </w:r>
      <w:r>
        <w:rPr>
          <w:rFonts w:ascii="Times New Roman" w:hAnsi="Times New Roman" w:eastAsia="黑体" w:cs="Times New Roman"/>
          <w:bCs/>
          <w:color w:val="000000" w:themeColor="text1"/>
          <w:kern w:val="24"/>
          <w:sz w:val="48"/>
          <w:szCs w:val="48"/>
          <w:highlight w:val="none"/>
          <w14:textFill>
            <w14:solidFill>
              <w14:schemeClr w14:val="tx1"/>
            </w14:solidFill>
          </w14:textFill>
        </w:rPr>
        <w:t>年</w:t>
      </w:r>
    </w:p>
    <w:p w14:paraId="0FEB9648">
      <w:pPr>
        <w:spacing w:after="156" w:afterLines="50" w:line="360" w:lineRule="auto"/>
        <w:rPr>
          <w:rFonts w:asciiTheme="minorEastAsia" w:hAnsiTheme="minorEastAsia"/>
          <w:color w:val="000000" w:themeColor="text1"/>
          <w:sz w:val="24"/>
          <w:szCs w:val="24"/>
          <w:highlight w:val="none"/>
          <w14:textFill>
            <w14:solidFill>
              <w14:schemeClr w14:val="tx1"/>
            </w14:solidFill>
          </w14:textFill>
        </w:rPr>
        <w:sectPr>
          <w:headerReference r:id="rId3" w:type="default"/>
          <w:pgSz w:w="11906" w:h="16838"/>
          <w:pgMar w:top="1440" w:right="1418" w:bottom="1440" w:left="1418" w:header="851" w:footer="992" w:gutter="0"/>
          <w:cols w:space="425" w:num="1"/>
          <w:docGrid w:type="lines" w:linePitch="312" w:charSpace="0"/>
        </w:sectPr>
      </w:pPr>
    </w:p>
    <w:p w14:paraId="7A547B8B">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ab/>
      </w:r>
      <w:r>
        <w:rPr>
          <w:rFonts w:hint="eastAsia"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8"/>
          <w:szCs w:val="28"/>
          <w:highlight w:val="none"/>
          <w14:textFill>
            <w14:solidFill>
              <w14:schemeClr w14:val="tx1"/>
            </w14:solidFill>
          </w14:textFill>
        </w:rPr>
        <w:t>本公司保证本报告内容不存在任何虚假记载、误导性陈述或重大遗漏，并对其内容的真实性、准确性和完整性承担个别及连带责任。</w:t>
      </w:r>
    </w:p>
    <w:p w14:paraId="16148174">
      <w:pPr>
        <w:pStyle w:val="3"/>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一、关于本报告</w:t>
      </w:r>
    </w:p>
    <w:p w14:paraId="2BB6FFA8">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本报告为</w:t>
      </w:r>
      <w:r>
        <w:rPr>
          <w:rFonts w:hint="eastAsia" w:asciiTheme="minorEastAsia" w:hAnsiTheme="minorEastAsia"/>
          <w:color w:val="000000" w:themeColor="text1"/>
          <w:sz w:val="28"/>
          <w:szCs w:val="28"/>
          <w:highlight w:val="none"/>
          <w:lang w:eastAsia="zh-CN"/>
          <w14:textFill>
            <w14:solidFill>
              <w14:schemeClr w14:val="tx1"/>
            </w14:solidFill>
          </w14:textFill>
        </w:rPr>
        <w:t>江苏龙东新材料有限公司</w:t>
      </w:r>
      <w:r>
        <w:rPr>
          <w:rFonts w:hint="eastAsia" w:asciiTheme="minorEastAsia" w:hAnsiTheme="minorEastAsia"/>
          <w:color w:val="000000" w:themeColor="text1"/>
          <w:sz w:val="28"/>
          <w:szCs w:val="28"/>
          <w:highlight w:val="none"/>
          <w14:textFill>
            <w14:solidFill>
              <w14:schemeClr w14:val="tx1"/>
            </w14:solidFill>
          </w14:textFill>
        </w:rPr>
        <w:t>（以下简称“公司”）与各利益相关方就公司社会责任活动及其绩效信息进行沟通与交流的重要渠道和载体。本报告系统梳理了公司近年来在从事经营管理活动中，履行社会责任方面的相关信息，初步阐述了公司的社会责任观。通过与公司利益相关方的沟通和交流，进一步促进公司在日常经营活动中落实科学发展，推动企业、社会、环境的协调可持续发展。</w:t>
      </w:r>
    </w:p>
    <w:p w14:paraId="267A9292">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b/>
          <w:color w:val="000000" w:themeColor="text1"/>
          <w:sz w:val="28"/>
          <w:szCs w:val="28"/>
          <w:highlight w:val="none"/>
          <w14:textFill>
            <w14:solidFill>
              <w14:schemeClr w14:val="tx1"/>
            </w14:solidFill>
          </w14:textFill>
        </w:rPr>
        <w:t>（一）报告时间范围：</w:t>
      </w:r>
      <w:r>
        <w:rPr>
          <w:rFonts w:hint="eastAsia" w:asciiTheme="minorEastAsia" w:hAnsiTheme="minorEastAsia"/>
          <w:color w:val="000000" w:themeColor="text1"/>
          <w:sz w:val="28"/>
          <w:szCs w:val="28"/>
          <w:highlight w:val="none"/>
          <w14:textFill>
            <w14:solidFill>
              <w14:schemeClr w14:val="tx1"/>
            </w14:solidFill>
          </w14:textFill>
        </w:rPr>
        <w:t>202</w:t>
      </w:r>
      <w:r>
        <w:rPr>
          <w:rFonts w:hint="eastAsia" w:asciiTheme="minorEastAsia" w:hAnsi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olor w:val="000000" w:themeColor="text1"/>
          <w:sz w:val="28"/>
          <w:szCs w:val="28"/>
          <w:highlight w:val="none"/>
          <w14:textFill>
            <w14:solidFill>
              <w14:schemeClr w14:val="tx1"/>
            </w14:solidFill>
          </w14:textFill>
        </w:rPr>
        <w:t>年1月1日至12月31日，部分内容追溯以往年份。</w:t>
      </w:r>
    </w:p>
    <w:p w14:paraId="4755A9E7">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b/>
          <w:color w:val="000000" w:themeColor="text1"/>
          <w:sz w:val="28"/>
          <w:szCs w:val="28"/>
          <w:highlight w:val="none"/>
          <w14:textFill>
            <w14:solidFill>
              <w14:schemeClr w14:val="tx1"/>
            </w14:solidFill>
          </w14:textFill>
        </w:rPr>
        <w:t>（二）报告组织范围：</w:t>
      </w:r>
      <w:r>
        <w:rPr>
          <w:rFonts w:hint="eastAsia" w:asciiTheme="minorEastAsia" w:hAnsiTheme="minorEastAsia"/>
          <w:color w:val="000000" w:themeColor="text1"/>
          <w:sz w:val="28"/>
          <w:szCs w:val="28"/>
          <w:highlight w:val="none"/>
          <w14:textFill>
            <w14:solidFill>
              <w14:schemeClr w14:val="tx1"/>
            </w14:solidFill>
          </w14:textFill>
        </w:rPr>
        <w:t>本报告信息覆盖范围涉及本公司。</w:t>
      </w:r>
    </w:p>
    <w:p w14:paraId="3C63EBF8">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b/>
          <w:color w:val="000000" w:themeColor="text1"/>
          <w:sz w:val="28"/>
          <w:szCs w:val="28"/>
          <w:highlight w:val="none"/>
          <w14:textFill>
            <w14:solidFill>
              <w14:schemeClr w14:val="tx1"/>
            </w14:solidFill>
          </w14:textFill>
        </w:rPr>
        <w:t>（三）报告发布周期：</w:t>
      </w:r>
      <w:r>
        <w:rPr>
          <w:rFonts w:hint="eastAsia" w:asciiTheme="minorEastAsia" w:hAnsiTheme="minorEastAsia"/>
          <w:color w:val="000000" w:themeColor="text1"/>
          <w:sz w:val="28"/>
          <w:szCs w:val="28"/>
          <w:highlight w:val="none"/>
          <w:lang w:eastAsia="zh-CN"/>
          <w14:textFill>
            <w14:solidFill>
              <w14:schemeClr w14:val="tx1"/>
            </w14:solidFill>
          </w14:textFill>
        </w:rPr>
        <w:t>江苏龙东新材料有限公司</w:t>
      </w:r>
      <w:r>
        <w:rPr>
          <w:rFonts w:hint="eastAsia" w:asciiTheme="minorEastAsia" w:hAnsiTheme="minorEastAsia"/>
          <w:color w:val="000000" w:themeColor="text1"/>
          <w:sz w:val="28"/>
          <w:szCs w:val="28"/>
          <w:highlight w:val="none"/>
          <w14:textFill>
            <w14:solidFill>
              <w14:schemeClr w14:val="tx1"/>
            </w14:solidFill>
          </w14:textFill>
        </w:rPr>
        <w:t>社会责任报告为年度报告。</w:t>
      </w:r>
    </w:p>
    <w:p w14:paraId="606055E5">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ab/>
      </w:r>
      <w:r>
        <w:rPr>
          <w:rFonts w:hint="eastAsia" w:asciiTheme="minorEastAsia" w:hAnsiTheme="minorEastAsia"/>
          <w:b/>
          <w:color w:val="000000" w:themeColor="text1"/>
          <w:sz w:val="28"/>
          <w:szCs w:val="28"/>
          <w:highlight w:val="none"/>
          <w14:textFill>
            <w14:solidFill>
              <w14:schemeClr w14:val="tx1"/>
            </w14:solidFill>
          </w14:textFill>
        </w:rPr>
        <w:t>（四）报告编制依据：</w:t>
      </w:r>
      <w:r>
        <w:rPr>
          <w:rFonts w:hint="eastAsia" w:asciiTheme="minorEastAsia" w:hAnsiTheme="minorEastAsia"/>
          <w:color w:val="000000" w:themeColor="text1"/>
          <w:sz w:val="28"/>
          <w:szCs w:val="28"/>
          <w:highlight w:val="none"/>
          <w14:textFill>
            <w14:solidFill>
              <w14:schemeClr w14:val="tx1"/>
            </w14:solidFill>
          </w14:textFill>
        </w:rPr>
        <w:t>本报告依据上海证券交易所《公司履行社会责任的报告》编制指引，GB/T36001-2015《社会责任报告编写指南》等文件要求编制。</w:t>
      </w:r>
    </w:p>
    <w:p w14:paraId="6ACC12FF">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ab/>
      </w:r>
      <w:r>
        <w:rPr>
          <w:rFonts w:hint="eastAsia" w:asciiTheme="minorEastAsia" w:hAnsiTheme="minorEastAsia"/>
          <w:b/>
          <w:color w:val="000000" w:themeColor="text1"/>
          <w:sz w:val="28"/>
          <w:szCs w:val="28"/>
          <w:highlight w:val="none"/>
          <w14:textFill>
            <w14:solidFill>
              <w14:schemeClr w14:val="tx1"/>
            </w14:solidFill>
          </w14:textFill>
        </w:rPr>
        <w:t>（五）报告数据说明：</w:t>
      </w:r>
      <w:r>
        <w:rPr>
          <w:rFonts w:hint="eastAsia" w:asciiTheme="minorEastAsia" w:hAnsiTheme="minorEastAsia"/>
          <w:color w:val="000000" w:themeColor="text1"/>
          <w:sz w:val="28"/>
          <w:szCs w:val="28"/>
          <w:highlight w:val="none"/>
          <w14:textFill>
            <w14:solidFill>
              <w14:schemeClr w14:val="tx1"/>
            </w14:solidFill>
          </w14:textFill>
        </w:rPr>
        <w:t>本报告所引用的</w:t>
      </w:r>
      <w:r>
        <w:rPr>
          <w:rFonts w:hint="eastAsia" w:asciiTheme="minorEastAsia" w:hAnsiTheme="minorEastAsia"/>
          <w:color w:val="000000" w:themeColor="text1"/>
          <w:sz w:val="28"/>
          <w:szCs w:val="28"/>
          <w:highlight w:val="none"/>
          <w:lang w:eastAsia="zh-CN"/>
          <w14:textFill>
            <w14:solidFill>
              <w14:schemeClr w14:val="tx1"/>
            </w14:solidFill>
          </w14:textFill>
        </w:rPr>
        <w:t>财务数据</w:t>
      </w:r>
      <w:r>
        <w:rPr>
          <w:rFonts w:hint="eastAsia" w:asciiTheme="minorEastAsia" w:hAnsiTheme="minorEastAsia"/>
          <w:color w:val="000000" w:themeColor="text1"/>
          <w:sz w:val="28"/>
          <w:szCs w:val="28"/>
          <w:highlight w:val="none"/>
          <w14:textFill>
            <w14:solidFill>
              <w14:schemeClr w14:val="tx1"/>
            </w14:solidFill>
          </w14:textFill>
        </w:rPr>
        <w:t>来源于公司内部正式文件和相关统计。</w:t>
      </w:r>
    </w:p>
    <w:p w14:paraId="3201B48D">
      <w:pPr>
        <w:spacing w:after="156" w:afterLines="50" w:line="360" w:lineRule="auto"/>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ab/>
      </w:r>
      <w:r>
        <w:rPr>
          <w:rFonts w:hint="eastAsia" w:asciiTheme="minorEastAsia" w:hAnsiTheme="minorEastAsia"/>
          <w:b/>
          <w:color w:val="000000" w:themeColor="text1"/>
          <w:sz w:val="28"/>
          <w:szCs w:val="28"/>
          <w:highlight w:val="none"/>
          <w14:textFill>
            <w14:solidFill>
              <w14:schemeClr w14:val="tx1"/>
            </w14:solidFill>
          </w14:textFill>
        </w:rPr>
        <w:t>（六）解答报告及其内容问题的联络人</w:t>
      </w:r>
    </w:p>
    <w:p w14:paraId="06785F11">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联系部门：</w:t>
      </w:r>
      <w:r>
        <w:rPr>
          <w:rFonts w:hint="eastAsia" w:asciiTheme="minorEastAsia" w:hAnsiTheme="minorEastAsia"/>
          <w:color w:val="000000" w:themeColor="text1"/>
          <w:sz w:val="28"/>
          <w:szCs w:val="28"/>
          <w:highlight w:val="none"/>
          <w:lang w:eastAsia="zh-CN"/>
          <w14:textFill>
            <w14:solidFill>
              <w14:schemeClr w14:val="tx1"/>
            </w14:solidFill>
          </w14:textFill>
        </w:rPr>
        <w:t>江苏龙东新材料有限公司</w:t>
      </w:r>
      <w:r>
        <w:rPr>
          <w:rFonts w:asciiTheme="minorEastAsia" w:hAnsiTheme="minorEastAsia"/>
          <w:color w:val="000000" w:themeColor="text1"/>
          <w:sz w:val="28"/>
          <w:szCs w:val="28"/>
          <w:highlight w:val="none"/>
          <w14:textFill>
            <w14:solidFill>
              <w14:schemeClr w14:val="tx1"/>
            </w14:solidFill>
          </w14:textFill>
        </w:rPr>
        <w:t>XXX</w:t>
      </w:r>
      <w:r>
        <w:rPr>
          <w:rFonts w:hint="eastAsia" w:asciiTheme="minorEastAsia" w:hAnsiTheme="minorEastAsia"/>
          <w:color w:val="000000" w:themeColor="text1"/>
          <w:sz w:val="28"/>
          <w:szCs w:val="28"/>
          <w:highlight w:val="none"/>
          <w14:textFill>
            <w14:solidFill>
              <w14:schemeClr w14:val="tx1"/>
            </w14:solidFill>
          </w14:textFill>
        </w:rPr>
        <w:t xml:space="preserve">部         </w:t>
      </w:r>
    </w:p>
    <w:p w14:paraId="52E3BA7C">
      <w:pPr>
        <w:spacing w:line="360" w:lineRule="auto"/>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联系人：</w:t>
      </w:r>
      <w:r>
        <w:rPr>
          <w:rFonts w:hint="eastAsia" w:asciiTheme="minorEastAsia" w:hAnsiTheme="minorEastAsia"/>
          <w:color w:val="000000" w:themeColor="text1"/>
          <w:sz w:val="28"/>
          <w:szCs w:val="28"/>
          <w:highlight w:val="none"/>
          <w:lang w:val="en-US" w:eastAsia="zh-CN"/>
          <w14:textFill>
            <w14:solidFill>
              <w14:schemeClr w14:val="tx1"/>
            </w14:solidFill>
          </w14:textFill>
        </w:rPr>
        <w:t>李峰</w:t>
      </w:r>
    </w:p>
    <w:p w14:paraId="05760071">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联系地址：常州经济开发区遥观镇常和路99号        </w:t>
      </w:r>
    </w:p>
    <w:p w14:paraId="1AFB96EA">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联系电话：15961190909                </w:t>
      </w: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w:t>
      </w:r>
    </w:p>
    <w:p w14:paraId="6D7BB6D1">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asciiTheme="minorEastAsia" w:hAnsiTheme="minorEastAsia"/>
          <w:color w:val="000000" w:themeColor="text1"/>
          <w:sz w:val="28"/>
          <w:szCs w:val="28"/>
          <w:highlight w:val="none"/>
          <w14:textFill>
            <w14:solidFill>
              <w14:schemeClr w14:val="tx1"/>
            </w14:solidFill>
          </w14:textFill>
        </w:rPr>
        <w:t xml:space="preserve">   </w:t>
      </w:r>
    </w:p>
    <w:p w14:paraId="3E2150CF">
      <w:pPr>
        <w:pStyle w:val="3"/>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二、关于公司</w:t>
      </w:r>
    </w:p>
    <w:p w14:paraId="1F25E9CC">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（一）公司简介</w:t>
      </w:r>
    </w:p>
    <w:p w14:paraId="2B0AC89A">
      <w:pPr>
        <w:spacing w:after="156" w:afterLines="50" w:line="360" w:lineRule="auto"/>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江苏龙东新材料有限公司成立于2019年12月5日，注册地址位于江苏常州经济开发区（武进区）遥观镇常和路99号，注册资本6000万元，法定代表人：茅震宇；经营范围：许可项目：危险化学品经营；危险废物经营（依法须经批准的项目，经相关部门批准后方可开展经营活动，具体经营项目以审批结果为准）一般项目：资源循环利用服务技术咨询；技术服务、技术开发、技术咨询、技术交流、技术转让、技术推广；电子专用材料制造；电子专用材料销售；电子专用材料研发；电子专用设备销售；环保咨询服务；水环境污染防治服务；土壤污染治理与修复服务；土壤环境污染防治服务；大气环境污染防治服务；环境应急治理服务；固体废物治理；土地调查评估服务；货物进出口；技术进出口；集成电路芯片及产品销售；进出口代理；采购代理服务；新材料技术研发；电子产品销售；电子元器件零售；光电子器件销售；显示器件销售；合成材料销售；化工产品销售（不含许可类化工产品）（除依法须经批准的项目外，凭营业执照依法自主开展经营活动）。江苏龙东新材料有限公司成立于2019年12月5日，注册资本6000万元，公司致力于半导体新材料、显示器、电子材料及辅料的生产和销售；为企业提供产品的技术咨询和售后服务；面对国外企业在光刻胶配方、生产工艺技术等方面一直以来对中国进行长期封锁，国内的光刻胶产品需求仍然依赖进口的现状，公司立足实现我国关键电子材料的国产化，迎合液晶平板TFT及柔性显示OLED市场生产的各项需要，聚集国外优秀专家，转国外先进技术为自有生产技术，将致力于改变高端光刻电子材料全部进口的局面，满足高端客户个性化需求，为客户量身定制并提供一站式服务解决方案。国外企业在光刻胶配方、生产工艺技术等方面一直以来对中国进行长期封锁，国内的光刻胶产品需求仍然依赖进口。公司为了实现我国关键电子材料的国产化，迎合液晶平板TFT及柔性显示OLED市场生产的各项需要，聚集国外优秀专家，转国外先进技术为自有生产技术，将一定程度改变高端光刻电子材料全部进口的局面，主要从事光刻胶及配套专用电子材料生产项目</w:t>
      </w:r>
      <w:r>
        <w:rPr>
          <w:rFonts w:hint="eastAsia" w:asciiTheme="minorEastAsia" w:hAnsiTheme="minorEastAsia"/>
          <w:color w:val="000000" w:themeColor="text1"/>
          <w:sz w:val="28"/>
          <w:szCs w:val="28"/>
          <w:highlight w:val="none"/>
          <w:lang w:eastAsia="zh-CN"/>
          <w14:textFill>
            <w14:solidFill>
              <w14:schemeClr w14:val="tx1"/>
            </w14:solidFill>
          </w14:textFill>
        </w:rPr>
        <w:t>。</w:t>
      </w:r>
    </w:p>
    <w:p w14:paraId="0944F56A">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（二）组织架构</w:t>
      </w:r>
    </w:p>
    <w:p w14:paraId="3587969C">
      <w:pPr>
        <w:spacing w:line="360" w:lineRule="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drawing>
          <wp:inline distT="0" distB="0" distL="114300" distR="114300">
            <wp:extent cx="5753735" cy="3576955"/>
            <wp:effectExtent l="0" t="0" r="18415" b="444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5753735" cy="3576955"/>
                    </a:xfrm>
                    <a:prstGeom prst="rect">
                      <a:avLst/>
                    </a:prstGeom>
                    <a:noFill/>
                    <a:ln>
                      <a:noFill/>
                    </a:ln>
                  </pic:spPr>
                </pic:pic>
              </a:graphicData>
            </a:graphic>
          </wp:inline>
        </w:drawing>
      </w:r>
    </w:p>
    <w:p w14:paraId="2DA9B3DE">
      <w:pPr>
        <w:spacing w:line="360" w:lineRule="auto"/>
        <w:rPr>
          <w:rFonts w:asciiTheme="minorEastAsia" w:hAnsiTheme="minorEastAsia"/>
          <w:color w:val="000000" w:themeColor="text1"/>
          <w:sz w:val="28"/>
          <w:szCs w:val="28"/>
          <w:highlight w:val="none"/>
          <w14:textFill>
            <w14:solidFill>
              <w14:schemeClr w14:val="tx1"/>
            </w14:solidFill>
          </w14:textFill>
        </w:rPr>
      </w:pPr>
    </w:p>
    <w:p w14:paraId="62661347">
      <w:pPr>
        <w:spacing w:line="360" w:lineRule="auto"/>
        <w:rPr>
          <w:rFonts w:asciiTheme="minorEastAsia" w:hAnsiTheme="minorEastAsia"/>
          <w:color w:val="000000" w:themeColor="text1"/>
          <w:sz w:val="28"/>
          <w:szCs w:val="28"/>
          <w:highlight w:val="none"/>
          <w14:textFill>
            <w14:solidFill>
              <w14:schemeClr w14:val="tx1"/>
            </w14:solidFill>
          </w14:textFill>
        </w:rPr>
      </w:pPr>
    </w:p>
    <w:p w14:paraId="76FBB7CA">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三</w:t>
      </w:r>
      <w:r>
        <w:rPr>
          <w:rFonts w:hint="eastAsia"/>
          <w:color w:val="000000" w:themeColor="text1"/>
          <w:sz w:val="28"/>
          <w:szCs w:val="28"/>
          <w:highlight w:val="none"/>
          <w14:textFill>
            <w14:solidFill>
              <w14:schemeClr w14:val="tx1"/>
            </w14:solidFill>
          </w14:textFill>
        </w:rPr>
        <w:t>）发展战略</w:t>
      </w:r>
    </w:p>
    <w:p w14:paraId="2FDFD75D">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lang w:val="en-US" w:eastAsia="zh-CN"/>
          <w14:textFill>
            <w14:solidFill>
              <w14:schemeClr w14:val="tx1"/>
            </w14:solidFill>
          </w14:textFill>
        </w:rPr>
        <w:t>江</w:t>
      </w:r>
      <w:r>
        <w:rPr>
          <w:rFonts w:hint="eastAsia" w:asciiTheme="minorEastAsia" w:hAnsiTheme="minorEastAsia"/>
          <w:color w:val="000000" w:themeColor="text1"/>
          <w:sz w:val="28"/>
          <w:szCs w:val="28"/>
          <w:highlight w:val="none"/>
          <w14:textFill>
            <w14:solidFill>
              <w14:schemeClr w14:val="tx1"/>
            </w14:solidFill>
          </w14:textFill>
        </w:rPr>
        <w:t>苏龙东新材料有限公司以废清边液、废剥离液的综合处置与循环利用为核心业务，后续发展战略将围绕技术升级、循环经济深化、市场拓展和绿色品牌塑造展开，打造全国领先的危废资源化标杆企业。技术层面，公司将加大研发投入，优化废液提纯与再生工艺，提升回收率与产品纯度，降低生产成本。同时，开发智能化检测与处理系统，实现废液成分快速分析及工艺自动调节，确保再生清边液、剥离液的性能稳定性。联合高校共建“电子化学品再生实验室”，布局新型环保替代材料的研发，减少客户对传统有害溶剂的依赖。循环经济层面，纵向延伸产业链，与上下游企业建立闭环合作：上游对接PCB、半导体厂商，签订废液长期回收协议；下游为客户提供“废液回收—再生产品—技术指导”一体化服务，绑定头部电子企业（如沪电股份、长电科技）。横向拓展废液处理种类，覆盖显影液、蚀刻液等电子化学品，形成多品类资源化能力。市场拓展方面，立足长三角电子产业集聚区，逐步向珠三角、成渝地区复制业务模式；针对中小客户推出“废液代处理+再生产品优惠”组合方案，抢占长尾市场。探索海外业务，以东南亚PCB产业转移为契机，输出技术与管理经验。绿色品牌塑造，通过ISO 14067碳足迹认证，量化再生产品减碳效益，申请“绿色工厂”与“无废企业”资质，提升政策支持与资本青睐度。强化ESG披露，吸引绿色基金投资。未来三年，公司目标成为电子化学品循环利用领域的技术引领者，构建“技术—环保—商业”三重壁垒，助力中国电子行业绿色转型。</w:t>
      </w:r>
    </w:p>
    <w:p w14:paraId="3955CDEC">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四</w:t>
      </w:r>
      <w:r>
        <w:rPr>
          <w:rFonts w:hint="eastAsia"/>
          <w:color w:val="000000" w:themeColor="text1"/>
          <w:sz w:val="28"/>
          <w:szCs w:val="28"/>
          <w:highlight w:val="none"/>
          <w14:textFill>
            <w14:solidFill>
              <w14:schemeClr w14:val="tx1"/>
            </w14:solidFill>
          </w14:textFill>
        </w:rPr>
        <w:t>）企业文化</w:t>
      </w:r>
    </w:p>
    <w:p w14:paraId="2BC9A6FC">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公司使命：“以科技重塑资源价值，让绿色循环赋能电子制造”——专注废清边液、废剥离液的高效再生利用，通过技术创新推动电子化学品循环经济，减少环境污染，助力客户实现可持续发展。</w:t>
      </w:r>
    </w:p>
    <w:p w14:paraId="7217D9A0">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公司愿景：“成为全球电子化学品资源化领域的创新领导者”——以技术驱动循环经济，打造覆盖回收、再生、应用的闭环产业链，引领行业绿色变革，成为国际知名的电子危废再生解决方案提供商。</w:t>
      </w:r>
    </w:p>
    <w:p w14:paraId="375EE228">
      <w:pPr>
        <w:spacing w:after="156" w:afterLines="50" w:line="360" w:lineRule="auto"/>
        <w:rPr>
          <w:rFonts w:hint="eastAsia"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核心价值观：</w:t>
      </w:r>
    </w:p>
    <w:p w14:paraId="1B88C953">
      <w:pPr>
        <w:numPr>
          <w:ilvl w:val="0"/>
          <w:numId w:val="1"/>
        </w:numPr>
        <w:spacing w:after="156" w:afterLines="50" w:line="360" w:lineRule="auto"/>
        <w:ind w:firstLine="560" w:firstLineChars="200"/>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创新为本：以技术突破为核心，持续优化废液再生工艺，探索更高效率、更低成本的资源化路径。</w:t>
      </w:r>
    </w:p>
    <w:p w14:paraId="01B3D8DE">
      <w:pPr>
        <w:numPr>
          <w:ilvl w:val="0"/>
          <w:numId w:val="1"/>
        </w:numPr>
        <w:spacing w:after="156" w:afterLines="50" w:line="360" w:lineRule="auto"/>
        <w:ind w:firstLine="560" w:firstLineChars="200"/>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绿色担当：践行“双碳”目标，通过循环经济减少危废排放，守护生态环境，推动行业绿色转型。</w:t>
      </w:r>
    </w:p>
    <w:p w14:paraId="7F99F5A4">
      <w:pPr>
        <w:numPr>
          <w:ilvl w:val="0"/>
          <w:numId w:val="1"/>
        </w:numPr>
        <w:spacing w:after="156" w:afterLines="50" w:line="360" w:lineRule="auto"/>
        <w:ind w:firstLine="560" w:firstLineChars="200"/>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客户共赢：聚焦电子制造企业需求，提供定制化再生服务与高品质产品，帮助客户降本增效。</w:t>
      </w:r>
    </w:p>
    <w:p w14:paraId="75B3BD97">
      <w:pPr>
        <w:numPr>
          <w:ilvl w:val="0"/>
          <w:numId w:val="1"/>
        </w:numPr>
        <w:spacing w:after="156" w:afterLines="50"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诚信协同：坚持合规经营，与上下游伙伴共建透明、可持续的产业生态链。</w:t>
      </w:r>
    </w:p>
    <w:p w14:paraId="597FCC59">
      <w:pPr>
        <w:numPr>
          <w:ilvl w:val="0"/>
          <w:numId w:val="1"/>
        </w:numPr>
        <w:spacing w:after="156" w:afterLines="50"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精益卓越：追求工艺与管理的精细化，以高标准保障再生产品质量与稳定性。</w:t>
      </w:r>
    </w:p>
    <w:p w14:paraId="16CF56F7">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五</w:t>
      </w:r>
      <w:r>
        <w:rPr>
          <w:rFonts w:hint="eastAsia"/>
          <w:color w:val="000000" w:themeColor="text1"/>
          <w:sz w:val="28"/>
          <w:szCs w:val="28"/>
          <w:highlight w:val="none"/>
          <w14:textFill>
            <w14:solidFill>
              <w14:schemeClr w14:val="tx1"/>
            </w14:solidFill>
          </w14:textFill>
        </w:rPr>
        <w:t>）社会责任理念</w:t>
      </w:r>
    </w:p>
    <w:p w14:paraId="2B47F309">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公司始终坚持创造价值，才有价值的核心价值观，通过利他来实现利己，持续推动企业健康稳定发展。公司在经营管理过程中，始终保持与各利益相关方的积极沟通、良性互动，严格履行社会责任和义务，主要包括公司治理、科技创新、安全生产、环境保护、相关方权益保护等，切实做到经济效益与社会效益、短期利益与长远利益、自身发展与社会发展相互协调，相互融合，实现企业与员工、企业与社会、企业与环境的健康和谐发展。</w:t>
      </w:r>
    </w:p>
    <w:p w14:paraId="024367AE">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六</w:t>
      </w:r>
      <w:r>
        <w:rPr>
          <w:rFonts w:hint="eastAsia"/>
          <w:color w:val="000000" w:themeColor="text1"/>
          <w:sz w:val="28"/>
          <w:szCs w:val="28"/>
          <w:highlight w:val="none"/>
          <w14:textFill>
            <w14:solidFill>
              <w14:schemeClr w14:val="tx1"/>
            </w14:solidFill>
          </w14:textFill>
        </w:rPr>
        <w:t>）所取得的主要荣誉</w:t>
      </w:r>
    </w:p>
    <w:p w14:paraId="6EED35A8">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20</w:t>
      </w:r>
      <w:r>
        <w:rPr>
          <w:rFonts w:hint="eastAsia" w:asciiTheme="minorEastAsia" w:hAnsiTheme="minorEastAsia"/>
          <w:color w:val="000000" w:themeColor="text1"/>
          <w:sz w:val="28"/>
          <w:szCs w:val="28"/>
          <w:highlight w:val="none"/>
          <w:lang w:val="en-US" w:eastAsia="zh-CN"/>
          <w14:textFill>
            <w14:solidFill>
              <w14:schemeClr w14:val="tx1"/>
            </w14:solidFill>
          </w14:textFill>
        </w:rPr>
        <w:t>23</w:t>
      </w:r>
      <w:r>
        <w:rPr>
          <w:rFonts w:hint="eastAsia" w:asciiTheme="minorEastAsia" w:hAnsiTheme="minorEastAsia"/>
          <w:color w:val="000000" w:themeColor="text1"/>
          <w:sz w:val="28"/>
          <w:szCs w:val="28"/>
          <w:highlight w:val="none"/>
          <w14:textFill>
            <w14:solidFill>
              <w14:schemeClr w14:val="tx1"/>
            </w14:solidFill>
          </w14:textFill>
        </w:rPr>
        <w:t>年，创新型中小企业；</w:t>
      </w:r>
    </w:p>
    <w:p w14:paraId="1D3057C3">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20</w:t>
      </w:r>
      <w:r>
        <w:rPr>
          <w:rFonts w:hint="eastAsia" w:asciiTheme="minorEastAsia" w:hAnsiTheme="minorEastAsia"/>
          <w:color w:val="000000" w:themeColor="text1"/>
          <w:sz w:val="28"/>
          <w:szCs w:val="28"/>
          <w:highlight w:val="none"/>
          <w:lang w:val="en-US" w:eastAsia="zh-CN"/>
          <w14:textFill>
            <w14:solidFill>
              <w14:schemeClr w14:val="tx1"/>
            </w14:solidFill>
          </w14:textFill>
        </w:rPr>
        <w:t>23</w:t>
      </w:r>
      <w:r>
        <w:rPr>
          <w:rFonts w:hint="eastAsia" w:asciiTheme="minorEastAsia" w:hAnsiTheme="minorEastAsia"/>
          <w:color w:val="000000" w:themeColor="text1"/>
          <w:sz w:val="28"/>
          <w:szCs w:val="28"/>
          <w:highlight w:val="none"/>
          <w14:textFill>
            <w14:solidFill>
              <w14:schemeClr w14:val="tx1"/>
            </w14:solidFill>
          </w14:textFill>
        </w:rPr>
        <w:t>年，民营科技企业；</w:t>
      </w:r>
    </w:p>
    <w:p w14:paraId="7148ADEC">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 xml:space="preserve"> 20</w:t>
      </w:r>
      <w:r>
        <w:rPr>
          <w:rFonts w:hint="eastAsia" w:asciiTheme="minorEastAsia" w:hAnsiTheme="minorEastAsia"/>
          <w:color w:val="000000" w:themeColor="text1"/>
          <w:sz w:val="28"/>
          <w:szCs w:val="28"/>
          <w:highlight w:val="none"/>
          <w:lang w:val="en-US" w:eastAsia="zh-CN"/>
          <w14:textFill>
            <w14:solidFill>
              <w14:schemeClr w14:val="tx1"/>
            </w14:solidFill>
          </w14:textFill>
        </w:rPr>
        <w:t>24</w:t>
      </w:r>
      <w:r>
        <w:rPr>
          <w:rFonts w:hint="eastAsia" w:asciiTheme="minorEastAsia" w:hAnsiTheme="minorEastAsia"/>
          <w:color w:val="000000" w:themeColor="text1"/>
          <w:sz w:val="28"/>
          <w:szCs w:val="28"/>
          <w:highlight w:val="none"/>
          <w14:textFill>
            <w14:solidFill>
              <w14:schemeClr w14:val="tx1"/>
            </w14:solidFill>
          </w14:textFill>
        </w:rPr>
        <w:t>年，高新技术企业</w:t>
      </w:r>
      <w:r>
        <w:rPr>
          <w:rFonts w:hint="eastAsia" w:asciiTheme="minorEastAsia" w:hAnsi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color w:val="000000" w:themeColor="text1"/>
          <w:sz w:val="28"/>
          <w:szCs w:val="28"/>
          <w:highlight w:val="none"/>
          <w14:textFill>
            <w14:solidFill>
              <w14:schemeClr w14:val="tx1"/>
            </w14:solidFill>
          </w14:textFill>
        </w:rPr>
        <w:t>编号：GR202432011357。</w:t>
      </w:r>
    </w:p>
    <w:p w14:paraId="0C453165">
      <w:pPr>
        <w:pStyle w:val="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三、公司治理</w:t>
      </w:r>
      <w:bookmarkStart w:id="0" w:name="_GoBack"/>
      <w:bookmarkEnd w:id="0"/>
    </w:p>
    <w:p w14:paraId="5584B081">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江苏龙东新材料有限公司构建科学高效的公司治理体系，以规范运作保障可持续发展。公司实施职业经理人制度，推行市场化选人用人机制，建立与业绩挂钩的绩效考核体系。完善内控制度，通过ISO 9001质量管理体系、ISO 14001环境管理体系认证，确保生产经营合规。强化信息披露，保障股东权益，履行社会责任。公司注重ESG管理，将环境保护、安全生产纳入治理重点，定期开展内审和风险评估，实现经济效益与社会效益的统。</w:t>
      </w:r>
    </w:p>
    <w:p w14:paraId="63DB5B01">
      <w:pPr>
        <w:pStyle w:val="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四、经营责任</w:t>
      </w:r>
    </w:p>
    <w:p w14:paraId="713F2C92">
      <w:pPr>
        <w:spacing w:line="360" w:lineRule="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发展是企业的首要任务，效益是企业的立足之本。公司在</w:t>
      </w:r>
      <w:r>
        <w:rPr>
          <w:rFonts w:hint="eastAsia"/>
          <w:color w:val="000000" w:themeColor="text1"/>
          <w:sz w:val="28"/>
          <w:szCs w:val="28"/>
          <w:highlight w:val="none"/>
          <w:lang w:eastAsia="zh-CN"/>
          <w14:textFill>
            <w14:solidFill>
              <w14:schemeClr w14:val="tx1"/>
            </w14:solidFill>
          </w14:textFill>
        </w:rPr>
        <w:t>2024</w:t>
      </w:r>
      <w:r>
        <w:rPr>
          <w:rFonts w:hint="eastAsia"/>
          <w:color w:val="000000" w:themeColor="text1"/>
          <w:sz w:val="28"/>
          <w:szCs w:val="28"/>
          <w:highlight w:val="none"/>
          <w14:textFill>
            <w14:solidFill>
              <w14:schemeClr w14:val="tx1"/>
            </w14:solidFill>
          </w14:textFill>
        </w:rPr>
        <w:t>年全方面夯实经营管理能力，持续研发投入，扎实推进各项战略举措任务，基本确保了公司</w:t>
      </w:r>
      <w:r>
        <w:rPr>
          <w:rFonts w:hint="eastAsia"/>
          <w:color w:val="000000" w:themeColor="text1"/>
          <w:sz w:val="28"/>
          <w:szCs w:val="28"/>
          <w:highlight w:val="none"/>
          <w:lang w:eastAsia="zh-CN"/>
          <w14:textFill>
            <w14:solidFill>
              <w14:schemeClr w14:val="tx1"/>
            </w14:solidFill>
          </w14:textFill>
        </w:rPr>
        <w:t>2024</w:t>
      </w:r>
      <w:r>
        <w:rPr>
          <w:rFonts w:hint="eastAsia"/>
          <w:color w:val="000000" w:themeColor="text1"/>
          <w:sz w:val="28"/>
          <w:szCs w:val="28"/>
          <w:highlight w:val="none"/>
          <w14:textFill>
            <w14:solidFill>
              <w14:schemeClr w14:val="tx1"/>
            </w14:solidFill>
          </w14:textFill>
        </w:rPr>
        <w:t>年度预算目标的实现，为公司持续健康稳定发展奠定了坚实基础。</w:t>
      </w:r>
    </w:p>
    <w:p w14:paraId="1F9DDCDE">
      <w:pPr>
        <w:pStyle w:val="4"/>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（一）强化经营管理体系</w:t>
      </w:r>
    </w:p>
    <w:p w14:paraId="062F05FF">
      <w:pPr>
        <w:pStyle w:val="24"/>
        <w:spacing w:before="0" w:beforeLines="0" w:after="0" w:afterLines="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t>经过多年的探索</w:t>
      </w:r>
      <w:r>
        <w:rPr>
          <w:rFonts w:hint="eastAsia" w:asciiTheme="minorEastAsia" w:hAnsiTheme="minorEastAsia" w:eastAsiaTheme="minorEastAsia"/>
          <w:color w:val="000000" w:themeColor="text1"/>
          <w:sz w:val="28"/>
          <w:szCs w:val="28"/>
          <w:highlight w:val="none"/>
          <w14:textFill>
            <w14:solidFill>
              <w14:schemeClr w14:val="tx1"/>
            </w14:solidFill>
          </w14:textFill>
        </w:rPr>
        <w:t>创新、</w:t>
      </w:r>
      <w:r>
        <w:rPr>
          <w:rFonts w:asciiTheme="minorEastAsia" w:hAnsiTheme="minorEastAsia" w:eastAsiaTheme="minorEastAsia"/>
          <w:color w:val="000000" w:themeColor="text1"/>
          <w:sz w:val="28"/>
          <w:szCs w:val="28"/>
          <w:highlight w:val="none"/>
          <w14:textFill>
            <w14:solidFill>
              <w14:schemeClr w14:val="tx1"/>
            </w14:solidFill>
          </w14:textFill>
        </w:rPr>
        <w:t>积累</w:t>
      </w:r>
      <w:r>
        <w:rPr>
          <w:rFonts w:hint="eastAsia" w:asciiTheme="minorEastAsia" w:hAnsiTheme="minorEastAsia" w:eastAsiaTheme="minorEastAsia"/>
          <w:color w:val="000000" w:themeColor="text1"/>
          <w:sz w:val="28"/>
          <w:szCs w:val="28"/>
          <w:highlight w:val="none"/>
          <w14:textFill>
            <w14:solidFill>
              <w14:schemeClr w14:val="tx1"/>
            </w14:solidFill>
          </w14:textFill>
        </w:rPr>
        <w:t>沉淀</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公司</w:t>
      </w:r>
      <w:r>
        <w:rPr>
          <w:rFonts w:asciiTheme="minorEastAsia" w:hAnsiTheme="minorEastAsia" w:eastAsiaTheme="minorEastAsia"/>
          <w:color w:val="000000" w:themeColor="text1"/>
          <w:sz w:val="28"/>
          <w:szCs w:val="28"/>
          <w:highlight w:val="none"/>
          <w14:textFill>
            <w14:solidFill>
              <w14:schemeClr w14:val="tx1"/>
            </w14:solidFill>
          </w14:textFill>
        </w:rPr>
        <w:t>在生产制造、成本控制、市场营销</w:t>
      </w:r>
      <w:r>
        <w:rPr>
          <w:rFonts w:hint="eastAsia" w:asciiTheme="minorEastAsia" w:hAnsiTheme="minorEastAsia" w:eastAsiaTheme="minorEastAsia"/>
          <w:color w:val="000000" w:themeColor="text1"/>
          <w:sz w:val="28"/>
          <w:szCs w:val="28"/>
          <w:highlight w:val="none"/>
          <w14:textFill>
            <w14:solidFill>
              <w14:schemeClr w14:val="tx1"/>
            </w14:solidFill>
          </w14:textFill>
        </w:rPr>
        <w:t>、人力资源管理等方面</w:t>
      </w:r>
      <w:r>
        <w:rPr>
          <w:rFonts w:asciiTheme="minorEastAsia" w:hAnsiTheme="minorEastAsia" w:eastAsiaTheme="minorEastAsia"/>
          <w:color w:val="000000" w:themeColor="text1"/>
          <w:sz w:val="28"/>
          <w:szCs w:val="28"/>
          <w:highlight w:val="none"/>
          <w14:textFill>
            <w14:solidFill>
              <w14:schemeClr w14:val="tx1"/>
            </w14:solidFill>
          </w14:textFill>
        </w:rPr>
        <w:t>形成了一套行之有效的规则制度。</w:t>
      </w:r>
      <w:r>
        <w:rPr>
          <w:rFonts w:hint="eastAsia" w:asciiTheme="minorEastAsia" w:hAnsiTheme="minorEastAsia" w:eastAsiaTheme="minorEastAsia"/>
          <w:color w:val="000000" w:themeColor="text1"/>
          <w:sz w:val="28"/>
          <w:szCs w:val="28"/>
          <w:highlight w:val="none"/>
          <w14:textFill>
            <w14:solidFill>
              <w14:schemeClr w14:val="tx1"/>
            </w14:solidFill>
          </w14:textFill>
        </w:rPr>
        <w:t>同时，为了进一步</w:t>
      </w:r>
      <w:r>
        <w:rPr>
          <w:rFonts w:asciiTheme="minorEastAsia" w:hAnsiTheme="minorEastAsia" w:eastAsiaTheme="minorEastAsia"/>
          <w:color w:val="000000" w:themeColor="text1"/>
          <w:sz w:val="28"/>
          <w:szCs w:val="28"/>
          <w:highlight w:val="none"/>
          <w14:textFill>
            <w14:solidFill>
              <w14:schemeClr w14:val="tx1"/>
            </w14:solidFill>
          </w14:textFill>
        </w:rPr>
        <w:t>提升</w:t>
      </w:r>
      <w:r>
        <w:rPr>
          <w:rFonts w:hint="eastAsia" w:asciiTheme="minorEastAsia" w:hAnsiTheme="minorEastAsia" w:eastAsiaTheme="minorEastAsia"/>
          <w:color w:val="000000" w:themeColor="text1"/>
          <w:sz w:val="28"/>
          <w:szCs w:val="28"/>
          <w:highlight w:val="none"/>
          <w14:textFill>
            <w14:solidFill>
              <w14:schemeClr w14:val="tx1"/>
            </w14:solidFill>
          </w14:textFill>
        </w:rPr>
        <w:t>公司经营管理水平</w:t>
      </w:r>
      <w:r>
        <w:rPr>
          <w:rFonts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公司的全面预算管理体系，目标绩效管理体系、经营报表管理体系有效落地，这将大大助推公司迈向全球先进经营管理水平之列。</w:t>
      </w:r>
    </w:p>
    <w:p w14:paraId="5505B6D7">
      <w:pPr>
        <w:pStyle w:val="4"/>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（二）持续研发创新</w:t>
      </w:r>
    </w:p>
    <w:p w14:paraId="57444094">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公司坚持自主创新发展道路，</w:t>
      </w:r>
      <w:r>
        <w:rPr>
          <w:rFonts w:asciiTheme="minorEastAsia" w:hAnsiTheme="minorEastAsia"/>
          <w:color w:val="000000" w:themeColor="text1"/>
          <w:sz w:val="28"/>
          <w:szCs w:val="28"/>
          <w:highlight w:val="none"/>
          <w14:textFill>
            <w14:solidFill>
              <w14:schemeClr w14:val="tx1"/>
            </w14:solidFill>
          </w14:textFill>
        </w:rPr>
        <w:t>重视新产品与新技术的研发，瞄准行业难题，通过新产品与新技术的不断推出，实现了公司的有序发展。公司依据ISO9001质量管理体系要求，对新产品研发进行全程质量控制与管理，做到新技术、新产品、新信息的充分共享，使公司技术研发中心的信息交换更加高速、便捷、实时。</w:t>
      </w:r>
      <w:r>
        <w:rPr>
          <w:rFonts w:hint="eastAsia" w:asciiTheme="minorEastAsia" w:hAnsiTheme="minorEastAsia"/>
          <w:color w:val="000000" w:themeColor="text1"/>
          <w:sz w:val="28"/>
          <w:szCs w:val="28"/>
          <w:highlight w:val="none"/>
          <w14:textFill>
            <w14:solidFill>
              <w14:schemeClr w14:val="tx1"/>
            </w14:solidFill>
          </w14:textFill>
        </w:rPr>
        <w:t>通过构建“公平、公正、公开”的激励机制与晋升机制，对员工实行绩效管理，以“行业领先”为原则制定研发人员薪资标准，为研发中心人力资源管理提供了薪酬激励保障。</w:t>
      </w:r>
    </w:p>
    <w:p w14:paraId="5261AF9C">
      <w:pPr>
        <w:pStyle w:val="4"/>
        <w:ind w:firstLine="495" w:firstLineChars="176"/>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（三）经营成果展示</w:t>
      </w:r>
    </w:p>
    <w:p w14:paraId="089AC86B">
      <w:pPr>
        <w:spacing w:after="156" w:afterLines="50"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202</w:t>
      </w:r>
      <w:r>
        <w:rPr>
          <w:rFonts w:hint="eastAsia" w:asciiTheme="minorEastAsia" w:hAnsi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olor w:val="000000" w:themeColor="text1"/>
          <w:sz w:val="28"/>
          <w:szCs w:val="28"/>
          <w:highlight w:val="none"/>
          <w14:textFill>
            <w14:solidFill>
              <w14:schemeClr w14:val="tx1"/>
            </w14:solidFill>
          </w14:textFill>
        </w:rPr>
        <w:t>年度，公司通过降本增效、开源节流，精细化经营管理，不断提升公司综合竞争能力，全年实现产值3463.13万元，销售收入3026.15万元，净利润11.07万元，上缴税费总额46.95万元。</w:t>
      </w:r>
    </w:p>
    <w:p w14:paraId="3507750F">
      <w:pPr>
        <w:pStyle w:val="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五、经济责任</w:t>
      </w:r>
    </w:p>
    <w:p w14:paraId="7A227F29">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（一）</w:t>
      </w:r>
      <w:r>
        <w:rPr>
          <w:rFonts w:hint="eastAsia"/>
          <w:color w:val="000000" w:themeColor="text1"/>
          <w:sz w:val="28"/>
          <w:szCs w:val="28"/>
          <w:highlight w:val="none"/>
          <w:lang w:val="en-US" w:eastAsia="zh-CN"/>
          <w14:textFill>
            <w14:solidFill>
              <w14:schemeClr w14:val="tx1"/>
            </w14:solidFill>
          </w14:textFill>
        </w:rPr>
        <w:t>领导</w:t>
      </w:r>
      <w:r>
        <w:rPr>
          <w:rFonts w:hint="eastAsia"/>
          <w:color w:val="000000" w:themeColor="text1"/>
          <w:sz w:val="28"/>
          <w:szCs w:val="28"/>
          <w:highlight w:val="none"/>
          <w14:textFill>
            <w14:solidFill>
              <w14:schemeClr w14:val="tx1"/>
            </w14:solidFill>
          </w14:textFill>
        </w:rPr>
        <w:t>责任</w:t>
      </w:r>
    </w:p>
    <w:p w14:paraId="668C968E">
      <w:pPr>
        <w:spacing w:after="156" w:afterLines="50"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江苏龙东新材料有限公司将领导责任作为经济责任的核心组成部分，通过科学决策和高效管理推动企业可持续发展。管理层肩负战略引领职责，制定清晰的循环经济发展规划，确保资源再生业务与市场需求精准对接。领导班子建立完善的经营决策机制，通过技术研发投入和工艺优化持续降低生产成本，提升再生产品市场竞争力。实施全面预算管理和精细化成本控制，保障资金使用效益最大化。管理层带头践行合规经营理念，建立健全风险防控体系，确保财务报告真实完整。同时，通过创新激励机制和人才培养计划，打造高素质专业化团队，为企业的长期稳定发展提供人才保障。领导班子定期评估经济目标完成情况，及时调整经营策略，确保</w:t>
      </w:r>
      <w:r>
        <w:rPr>
          <w:rFonts w:hint="eastAsia" w:asciiTheme="minorEastAsia" w:hAnsiTheme="minorEastAsia"/>
          <w:color w:val="000000" w:themeColor="text1"/>
          <w:sz w:val="28"/>
          <w:szCs w:val="28"/>
          <w:highlight w:val="none"/>
          <w:lang w:val="en-US" w:eastAsia="zh-CN"/>
          <w14:textFill>
            <w14:solidFill>
              <w14:schemeClr w14:val="tx1"/>
            </w14:solidFill>
          </w14:textFill>
        </w:rPr>
        <w:t>公司</w:t>
      </w:r>
      <w:r>
        <w:rPr>
          <w:rFonts w:hint="eastAsia" w:asciiTheme="minorEastAsia" w:hAnsiTheme="minorEastAsia"/>
          <w:color w:val="000000" w:themeColor="text1"/>
          <w:sz w:val="28"/>
          <w:szCs w:val="28"/>
          <w:highlight w:val="none"/>
          <w14:textFill>
            <w14:solidFill>
              <w14:schemeClr w14:val="tx1"/>
            </w14:solidFill>
          </w14:textFill>
        </w:rPr>
        <w:t>资产保值增值和企业健康运行。</w:t>
      </w:r>
    </w:p>
    <w:p w14:paraId="3A78A5A5">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（二）合作共赢责任</w:t>
      </w:r>
    </w:p>
    <w:p w14:paraId="41777F89">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公司坚持以合作谋发展，以合作促共赢，立足于与合作伙伴共同成长，并在此基础上实现价值共享。公司严格按照与债权人签订合同，恪守信用，履行债务，及时通报与债权人权益相关的重大信息，营造信任、平等、共赢的合作关系。公司建立健全了《供应商管理制度》、《</w:t>
      </w:r>
      <w:r>
        <w:rPr>
          <w:rFonts w:hint="eastAsia" w:asciiTheme="minorEastAsia" w:hAnsiTheme="minorEastAsia"/>
          <w:color w:val="000000" w:themeColor="text1"/>
          <w:sz w:val="28"/>
          <w:szCs w:val="28"/>
          <w:highlight w:val="none"/>
          <w:lang w:val="en-US" w:eastAsia="zh-CN"/>
          <w14:textFill>
            <w14:solidFill>
              <w14:schemeClr w14:val="tx1"/>
            </w14:solidFill>
          </w14:textFill>
        </w:rPr>
        <w:t>供应商控制程序</w:t>
      </w:r>
      <w:r>
        <w:rPr>
          <w:rFonts w:hint="eastAsia" w:asciiTheme="minorEastAsia" w:hAnsiTheme="minorEastAsia"/>
          <w:color w:val="000000" w:themeColor="text1"/>
          <w:sz w:val="28"/>
          <w:szCs w:val="28"/>
          <w:highlight w:val="none"/>
          <w14:textFill>
            <w14:solidFill>
              <w14:schemeClr w14:val="tx1"/>
            </w14:solidFill>
          </w14:textFill>
        </w:rPr>
        <w:t>》等相关内控制度，依据不同物料采用询比价、竞争性谈判、招标相结合的采购方式，开展技术经验交流，建立了反舞弊管理机制，设置投诉专线，始终坚持公开、公平、公正和互惠互利的原则，促进双方共同发展。公司坚持稳健财务政策，加强资金预算管理，注重全面风险管理，维护良好的资信水平，确保资产和资金安全，严格控制资产负债率在合理水平，切实维护债权人的合法权益。截止目前，公司主要债权人各商业银行、供应商皆未与公司发生任何债务纠纷。</w:t>
      </w:r>
    </w:p>
    <w:p w14:paraId="20648762">
      <w:pPr>
        <w:pStyle w:val="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六、环保责任</w:t>
      </w:r>
    </w:p>
    <w:p w14:paraId="4BAA818F">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近年来，国家对环境保护提出来更高监管要求，这需要企业加大环境保护方面投入，面对环保责任和企业利益的矛盾与冲突，公司以高度的社会责任感和自主创新精神，从原材料采购、生产工艺、产品运输包装、产品报废处理等环节入手，加快环保节能技术改造，深入环保节能工作，全过程对产品的环境保护进行层层把关。公司在新技术、新材料、新工艺研发管理工作中，加入了环保指标评审与考核。公司将积极承担环保责任，努力把公司建设成为环境友好型、资源节约型的现代化企业。</w:t>
      </w:r>
    </w:p>
    <w:p w14:paraId="67392550">
      <w:pPr>
        <w:pStyle w:val="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七、社会责任</w:t>
      </w:r>
    </w:p>
    <w:p w14:paraId="16594A27">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（一）安全责任</w:t>
      </w:r>
    </w:p>
    <w:p w14:paraId="7A7E76B5">
      <w:pPr>
        <w:spacing w:line="360" w:lineRule="auto"/>
        <w:rPr>
          <w:rFonts w:asciiTheme="minorEastAsia" w:hAnsiTheme="minor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安全生产是企业生存与发展的前提，更是全体员工的生命线，公司始终把安全工作摆在一切工作的首位，</w:t>
      </w:r>
      <w:r>
        <w:rPr>
          <w:rFonts w:hint="eastAsia" w:asciiTheme="minorEastAsia" w:hAnsiTheme="minorEastAsia"/>
          <w:color w:val="000000" w:themeColor="text1"/>
          <w:sz w:val="28"/>
          <w:szCs w:val="28"/>
          <w:highlight w:val="none"/>
          <w14:textFill>
            <w14:solidFill>
              <w14:schemeClr w14:val="tx1"/>
            </w14:solidFill>
          </w14:textFill>
        </w:rPr>
        <w:t>设立了安全管理机构安环部，实行专业化管理。公司定期举办模拟消防演练、安全知识教育培训，不断提高员工的风险防范意识和危机处理能力。安环部定期组织安全生产专项大检查，识别潜在危险源，加大对安全隐患排查和整改力度，建立起“层层把关、全员参与、防患于未然”的安全风险预防管理体系。公司全员签订了《安全生产责任书》，落实安全生产目标责任制，对失职渎职行为严肃问责，建立健全了安全生产责任管理体系。</w:t>
      </w:r>
    </w:p>
    <w:p w14:paraId="609CF4F7">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公司</w:t>
      </w:r>
      <w:r>
        <w:rPr>
          <w:rFonts w:hint="eastAsia" w:asciiTheme="minorEastAsia" w:hAnsiTheme="minorEastAsia"/>
          <w:color w:val="000000" w:themeColor="text1"/>
          <w:sz w:val="28"/>
          <w:szCs w:val="28"/>
          <w:highlight w:val="none"/>
          <w14:textFill>
            <w14:solidFill>
              <w14:schemeClr w14:val="tx1"/>
            </w14:solidFill>
          </w14:textFill>
        </w:rPr>
        <w:t>认真贯彻执行“安全第一、预防为主、综合治理”的安全生产方针，</w:t>
      </w:r>
      <w:r>
        <w:rPr>
          <w:rFonts w:hint="eastAsia"/>
          <w:color w:val="000000" w:themeColor="text1"/>
          <w:sz w:val="28"/>
          <w:szCs w:val="28"/>
          <w:highlight w:val="none"/>
          <w14:textFill>
            <w14:solidFill>
              <w14:schemeClr w14:val="tx1"/>
            </w14:solidFill>
          </w14:textFill>
        </w:rPr>
        <w:t>通过</w:t>
      </w:r>
      <w:r>
        <w:rPr>
          <w:rFonts w:hint="eastAsia" w:asciiTheme="minorEastAsia" w:hAnsiTheme="minorEastAsia"/>
          <w:color w:val="000000" w:themeColor="text1"/>
          <w:sz w:val="28"/>
          <w:szCs w:val="28"/>
          <w:highlight w:val="none"/>
          <w14:textFill>
            <w14:solidFill>
              <w14:schemeClr w14:val="tx1"/>
            </w14:solidFill>
          </w14:textFill>
        </w:rPr>
        <w:t>践行“尊重生命、敬畏规则、落实责任、规范管理”的安全理念，培育“制度管理、环境约束、文化引领”的安全文化，从宣传教育、制度建设、精神鼓励、物质保障、行为约束、典型示范等多方位推进，公司实现了全年安全管理无重大事故，安全生产局面继续保持了良好的发展态势。</w:t>
      </w:r>
    </w:p>
    <w:p w14:paraId="006E8146">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（二）员工责任</w:t>
      </w:r>
      <w:r>
        <w:rPr>
          <w:rFonts w:hint="eastAsia" w:asciiTheme="minorEastAsia" w:hAnsiTheme="minorEastAsia"/>
          <w:color w:val="000000" w:themeColor="text1"/>
          <w:sz w:val="28"/>
          <w:szCs w:val="28"/>
          <w:highlight w:val="none"/>
          <w14:textFill>
            <w14:solidFill>
              <w14:schemeClr w14:val="tx1"/>
            </w14:solidFill>
          </w14:textFill>
        </w:rPr>
        <w:tab/>
      </w:r>
    </w:p>
    <w:p w14:paraId="2A62103B">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公司坚持以人为本的管理理念，逐步完善人力资源管理体系，打造员工成长、企业发展的利益共同体、事业共同体、命运共同体。公司严格遵守《劳动法》、《劳动合同法》、《社会保险法》等相关法律法规要求，依法制定规范的劳动合同管理制度、薪酬福利管理制度、绩效管理制度等人事相关管理制度。公司与全体员工签订了《劳动合同》，按时足额发放薪酬，办理医疗、养老、失业、工伤、生育等社会保险，实施带薪年假、产假、哺乳假等相关政策，保障了员工的基本权益。公司注重高潜人才培训，逐步建立起后备干部梯队，将员工需求与企业发展相融合，助力员工成长成才。通过把员工薪酬与公司业绩、个人绩效直接挂钩，用激励机制强化员工的责任意识与敬业意识，不断提高员工的忠诚度，增强企业的活力和创造性。</w:t>
      </w:r>
    </w:p>
    <w:p w14:paraId="43B49E24">
      <w:pPr>
        <w:spacing w:line="360" w:lineRule="auto"/>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ab/>
      </w:r>
      <w:r>
        <w:rPr>
          <w:rFonts w:hint="eastAsia" w:asciiTheme="minorEastAsia" w:hAnsiTheme="minorEastAsia"/>
          <w:color w:val="000000" w:themeColor="text1"/>
          <w:sz w:val="28"/>
          <w:szCs w:val="28"/>
          <w:highlight w:val="none"/>
          <w14:textFill>
            <w14:solidFill>
              <w14:schemeClr w14:val="tx1"/>
            </w14:solidFill>
          </w14:textFill>
        </w:rPr>
        <w:t>公司始终坚信优秀的</w:t>
      </w:r>
      <w:r>
        <w:rPr>
          <w:rFonts w:hint="eastAsia" w:asciiTheme="minorEastAsia" w:hAnsiTheme="minorEastAsia"/>
          <w:color w:val="000000" w:themeColor="text1"/>
          <w:sz w:val="28"/>
          <w:szCs w:val="28"/>
          <w:highlight w:val="none"/>
          <w:lang w:val="en-US" w:eastAsia="zh-CN"/>
          <w14:textFill>
            <w14:solidFill>
              <w14:schemeClr w14:val="tx1"/>
            </w14:solidFill>
          </w14:textFill>
        </w:rPr>
        <w:t>技术</w:t>
      </w:r>
      <w:r>
        <w:rPr>
          <w:rFonts w:hint="eastAsia" w:asciiTheme="minorEastAsia" w:hAnsiTheme="minorEastAsia"/>
          <w:color w:val="000000" w:themeColor="text1"/>
          <w:sz w:val="28"/>
          <w:szCs w:val="28"/>
          <w:highlight w:val="none"/>
          <w14:textFill>
            <w14:solidFill>
              <w14:schemeClr w14:val="tx1"/>
            </w14:solidFill>
          </w14:textFill>
        </w:rPr>
        <w:t>团队是公司发展历程中最宝贵的财富。通过积极探索有公司特色的人力资源管理政策，把每位员工的个人职业生涯与公司发展目标真正融合起来，保障员工合理分享公司发展成果，调动员工的工作积极性与主动性，持续推动企业和员工和谐发展。</w:t>
      </w:r>
    </w:p>
    <w:p w14:paraId="0323B392">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（三）公益责任</w:t>
      </w:r>
    </w:p>
    <w:p w14:paraId="76AED5F2">
      <w:pPr>
        <w:spacing w:after="156" w:afterLines="50"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过去的一年，公司在治理结构、安全生产、环境保护、科技创新、相关方利益保护等方面开展了大量工作，取得了一定成绩。20</w:t>
      </w:r>
      <w:r>
        <w:rPr>
          <w:rFonts w:asciiTheme="minorEastAsia" w:hAnsiTheme="minorEastAsia"/>
          <w:color w:val="000000" w:themeColor="text1"/>
          <w:sz w:val="28"/>
          <w:szCs w:val="28"/>
          <w:highlight w:val="none"/>
          <w14:textFill>
            <w14:solidFill>
              <w14:schemeClr w14:val="tx1"/>
            </w14:solidFill>
          </w14:textFill>
        </w:rPr>
        <w:t>2</w:t>
      </w:r>
      <w:r>
        <w:rPr>
          <w:rFonts w:hint="eastAsia" w:asciiTheme="minorEastAsia" w:hAnsi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color w:val="000000" w:themeColor="text1"/>
          <w:sz w:val="28"/>
          <w:szCs w:val="28"/>
          <w:highlight w:val="none"/>
          <w14:textFill>
            <w14:solidFill>
              <w14:schemeClr w14:val="tx1"/>
            </w14:solidFill>
          </w14:textFill>
        </w:rPr>
        <w:t>年，公司将再接再厉，继续秉承创造价值才有价值的理念，完善公司社会责任体系，积极承担上市公司社会责任，努力实现与各利益相关方的合作共赢，促进公司全面、协调、可持续发展。</w:t>
      </w:r>
    </w:p>
    <w:p w14:paraId="2C5297C5">
      <w:pPr>
        <w:spacing w:line="360" w:lineRule="auto"/>
        <w:jc w:val="right"/>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olor w:val="000000" w:themeColor="text1"/>
          <w:sz w:val="28"/>
          <w:szCs w:val="28"/>
          <w:highlight w:val="none"/>
          <w:lang w:eastAsia="zh-CN"/>
          <w14:textFill>
            <w14:solidFill>
              <w14:schemeClr w14:val="tx1"/>
            </w14:solidFill>
          </w14:textFill>
        </w:rPr>
        <w:t>江苏龙东新材料有限公司</w:t>
      </w:r>
    </w:p>
    <w:p w14:paraId="77953CA6">
      <w:pPr>
        <w:spacing w:line="360" w:lineRule="auto"/>
        <w:jc w:val="righ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20</w:t>
      </w:r>
      <w:r>
        <w:rPr>
          <w:rFonts w:hint="eastAsia" w:asciiTheme="minorEastAsia" w:hAnsiTheme="minorEastAsia"/>
          <w:color w:val="000000" w:themeColor="text1"/>
          <w:sz w:val="28"/>
          <w:szCs w:val="28"/>
          <w:highlight w:val="none"/>
          <w:lang w:val="en-US" w:eastAsia="zh-CN"/>
          <w14:textFill>
            <w14:solidFill>
              <w14:schemeClr w14:val="tx1"/>
            </w14:solidFill>
          </w14:textFill>
        </w:rPr>
        <w:t>25</w:t>
      </w:r>
      <w:r>
        <w:rPr>
          <w:rFonts w:hint="eastAsia" w:asciiTheme="minorEastAsia" w:hAnsiTheme="minorEastAsia"/>
          <w:color w:val="000000" w:themeColor="text1"/>
          <w:sz w:val="28"/>
          <w:szCs w:val="28"/>
          <w:highlight w:val="none"/>
          <w14:textFill>
            <w14:solidFill>
              <w14:schemeClr w14:val="tx1"/>
            </w14:solidFill>
          </w14:textFill>
        </w:rPr>
        <w:t>年0</w:t>
      </w:r>
      <w:r>
        <w:rPr>
          <w:rFonts w:hint="eastAsia" w:asciiTheme="minorEastAsia" w:hAnsi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color w:val="000000" w:themeColor="text1"/>
          <w:sz w:val="28"/>
          <w:szCs w:val="28"/>
          <w:highlight w:val="none"/>
          <w14:textFill>
            <w14:solidFill>
              <w14:schemeClr w14:val="tx1"/>
            </w14:solidFill>
          </w14:textFill>
        </w:rPr>
        <w:t>月</w:t>
      </w:r>
      <w:r>
        <w:rPr>
          <w:rFonts w:hint="eastAsia" w:asciiTheme="minorEastAsia" w:hAnsiTheme="minorEastAsia"/>
          <w:color w:val="000000" w:themeColor="text1"/>
          <w:sz w:val="28"/>
          <w:szCs w:val="28"/>
          <w:highlight w:val="none"/>
          <w:lang w:val="en-US" w:eastAsia="zh-CN"/>
          <w14:textFill>
            <w14:solidFill>
              <w14:schemeClr w14:val="tx1"/>
            </w14:solidFill>
          </w14:textFill>
        </w:rPr>
        <w:t>21</w:t>
      </w:r>
      <w:r>
        <w:rPr>
          <w:rFonts w:hint="eastAsia" w:asciiTheme="minorEastAsia" w:hAnsiTheme="minorEastAsia"/>
          <w:color w:val="000000" w:themeColor="text1"/>
          <w:sz w:val="28"/>
          <w:szCs w:val="28"/>
          <w:highlight w:val="none"/>
          <w14:textFill>
            <w14:solidFill>
              <w14:schemeClr w14:val="tx1"/>
            </w14:solidFill>
          </w14:textFill>
        </w:rPr>
        <w:t>日</w:t>
      </w:r>
    </w:p>
    <w:sectPr>
      <w:footerReference r:id="rId4"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360"/>
      <w:docPartObj>
        <w:docPartGallery w:val="autotext"/>
      </w:docPartObj>
    </w:sdtPr>
    <w:sdtContent>
      <w:p w14:paraId="5F93F9EE">
        <w:pPr>
          <w:pStyle w:val="7"/>
          <w:jc w:val="center"/>
        </w:pPr>
        <w:r>
          <w:fldChar w:fldCharType="begin"/>
        </w:r>
        <w:r>
          <w:instrText xml:space="preserve">PAGE   \* MERGEFORMAT</w:instrText>
        </w:r>
        <w:r>
          <w:fldChar w:fldCharType="separate"/>
        </w:r>
        <w:r>
          <w:rPr>
            <w:lang w:val="zh-CN"/>
          </w:rPr>
          <w:t>10</w:t>
        </w:r>
        <w:r>
          <w:fldChar w:fldCharType="end"/>
        </w:r>
      </w:p>
    </w:sdtContent>
  </w:sdt>
  <w:p w14:paraId="47A70C2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D9D94">
    <w:pPr>
      <w:pStyle w:val="8"/>
      <w:jc w:val="left"/>
    </w:pPr>
    <w:r>
      <w:rPr>
        <w:rFonts w:hint="eastAsia" w:eastAsia="宋体"/>
        <w:lang w:eastAsia="zh-CN"/>
      </w:rPr>
      <w:drawing>
        <wp:inline distT="0" distB="0" distL="114300" distR="114300">
          <wp:extent cx="2523490" cy="447040"/>
          <wp:effectExtent l="0" t="0" r="10160" b="10160"/>
          <wp:docPr id="23" name="图片 23" descr="174737832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747378322053"/>
                  <pic:cNvPicPr>
                    <a:picLocks noChangeAspect="1"/>
                  </pic:cNvPicPr>
                </pic:nvPicPr>
                <pic:blipFill>
                  <a:blip r:embed="rId1"/>
                  <a:stretch>
                    <a:fillRect/>
                  </a:stretch>
                </pic:blipFill>
                <pic:spPr>
                  <a:xfrm>
                    <a:off x="0" y="0"/>
                    <a:ext cx="2523490" cy="447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4307A"/>
    <w:multiLevelType w:val="singleLevel"/>
    <w:tmpl w:val="F73430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40"/>
    <w:rsid w:val="00002D36"/>
    <w:rsid w:val="00003048"/>
    <w:rsid w:val="000059DF"/>
    <w:rsid w:val="000072E3"/>
    <w:rsid w:val="00012307"/>
    <w:rsid w:val="00012435"/>
    <w:rsid w:val="000161B8"/>
    <w:rsid w:val="00021D47"/>
    <w:rsid w:val="0002418A"/>
    <w:rsid w:val="000306FA"/>
    <w:rsid w:val="00030EA2"/>
    <w:rsid w:val="000340A7"/>
    <w:rsid w:val="000376D4"/>
    <w:rsid w:val="000377C7"/>
    <w:rsid w:val="00040A56"/>
    <w:rsid w:val="00040EAB"/>
    <w:rsid w:val="0005181D"/>
    <w:rsid w:val="00051A36"/>
    <w:rsid w:val="00052AA7"/>
    <w:rsid w:val="000560B6"/>
    <w:rsid w:val="000622A1"/>
    <w:rsid w:val="000627F9"/>
    <w:rsid w:val="00066244"/>
    <w:rsid w:val="00070942"/>
    <w:rsid w:val="00071181"/>
    <w:rsid w:val="00072327"/>
    <w:rsid w:val="0007292B"/>
    <w:rsid w:val="00072EBA"/>
    <w:rsid w:val="000740B3"/>
    <w:rsid w:val="000748F1"/>
    <w:rsid w:val="00080BC0"/>
    <w:rsid w:val="0008267A"/>
    <w:rsid w:val="000839BE"/>
    <w:rsid w:val="00083AAD"/>
    <w:rsid w:val="0009367B"/>
    <w:rsid w:val="0009431A"/>
    <w:rsid w:val="00094C6A"/>
    <w:rsid w:val="00094FFC"/>
    <w:rsid w:val="00095475"/>
    <w:rsid w:val="000A1E9E"/>
    <w:rsid w:val="000A4AC8"/>
    <w:rsid w:val="000A6D3C"/>
    <w:rsid w:val="000B3CB6"/>
    <w:rsid w:val="000B6200"/>
    <w:rsid w:val="000B7562"/>
    <w:rsid w:val="000B79E2"/>
    <w:rsid w:val="000C00FB"/>
    <w:rsid w:val="000C0E6F"/>
    <w:rsid w:val="000C2FCB"/>
    <w:rsid w:val="000C3063"/>
    <w:rsid w:val="000D0A28"/>
    <w:rsid w:val="000D15AF"/>
    <w:rsid w:val="000D1B4E"/>
    <w:rsid w:val="000D4EC2"/>
    <w:rsid w:val="000D7628"/>
    <w:rsid w:val="000E06E9"/>
    <w:rsid w:val="000E6C3B"/>
    <w:rsid w:val="000E6D08"/>
    <w:rsid w:val="000E7273"/>
    <w:rsid w:val="000F2AE2"/>
    <w:rsid w:val="001026B8"/>
    <w:rsid w:val="001049EB"/>
    <w:rsid w:val="001067B2"/>
    <w:rsid w:val="00107CE9"/>
    <w:rsid w:val="001104F7"/>
    <w:rsid w:val="0012136D"/>
    <w:rsid w:val="00121586"/>
    <w:rsid w:val="00123563"/>
    <w:rsid w:val="00123BE2"/>
    <w:rsid w:val="001252E1"/>
    <w:rsid w:val="00125843"/>
    <w:rsid w:val="00125F0D"/>
    <w:rsid w:val="00131146"/>
    <w:rsid w:val="001335E5"/>
    <w:rsid w:val="00133F54"/>
    <w:rsid w:val="00136E9D"/>
    <w:rsid w:val="00137959"/>
    <w:rsid w:val="001400CC"/>
    <w:rsid w:val="00140173"/>
    <w:rsid w:val="001420FA"/>
    <w:rsid w:val="001456B0"/>
    <w:rsid w:val="00147913"/>
    <w:rsid w:val="00152D1A"/>
    <w:rsid w:val="00152EB3"/>
    <w:rsid w:val="00154633"/>
    <w:rsid w:val="00154B9B"/>
    <w:rsid w:val="001568DC"/>
    <w:rsid w:val="00156D96"/>
    <w:rsid w:val="00157144"/>
    <w:rsid w:val="0016202D"/>
    <w:rsid w:val="00163B2F"/>
    <w:rsid w:val="001644E2"/>
    <w:rsid w:val="001675A6"/>
    <w:rsid w:val="00167B51"/>
    <w:rsid w:val="001714B2"/>
    <w:rsid w:val="001715BB"/>
    <w:rsid w:val="0018126D"/>
    <w:rsid w:val="001817F0"/>
    <w:rsid w:val="00182BB8"/>
    <w:rsid w:val="00185D1A"/>
    <w:rsid w:val="00187B7C"/>
    <w:rsid w:val="0019161D"/>
    <w:rsid w:val="00191FAD"/>
    <w:rsid w:val="00193350"/>
    <w:rsid w:val="001940CE"/>
    <w:rsid w:val="001A0C3E"/>
    <w:rsid w:val="001A3C0A"/>
    <w:rsid w:val="001A4630"/>
    <w:rsid w:val="001B0675"/>
    <w:rsid w:val="001B2C19"/>
    <w:rsid w:val="001B5522"/>
    <w:rsid w:val="001B5D00"/>
    <w:rsid w:val="001B6CDB"/>
    <w:rsid w:val="001C1AAD"/>
    <w:rsid w:val="001C3270"/>
    <w:rsid w:val="001C640C"/>
    <w:rsid w:val="001D0100"/>
    <w:rsid w:val="001D1AB7"/>
    <w:rsid w:val="001D31C2"/>
    <w:rsid w:val="001D35B8"/>
    <w:rsid w:val="001D5C10"/>
    <w:rsid w:val="001D5D0C"/>
    <w:rsid w:val="001E0DFB"/>
    <w:rsid w:val="001E16A2"/>
    <w:rsid w:val="001E3431"/>
    <w:rsid w:val="001E357B"/>
    <w:rsid w:val="001E487E"/>
    <w:rsid w:val="001E4D8F"/>
    <w:rsid w:val="001F16E1"/>
    <w:rsid w:val="001F6B9C"/>
    <w:rsid w:val="00200B41"/>
    <w:rsid w:val="002034B5"/>
    <w:rsid w:val="00203C24"/>
    <w:rsid w:val="00207814"/>
    <w:rsid w:val="002138AC"/>
    <w:rsid w:val="00215DD5"/>
    <w:rsid w:val="00216D27"/>
    <w:rsid w:val="0022042F"/>
    <w:rsid w:val="002245F4"/>
    <w:rsid w:val="00225C1F"/>
    <w:rsid w:val="00225CD0"/>
    <w:rsid w:val="00226740"/>
    <w:rsid w:val="002309CB"/>
    <w:rsid w:val="0023284F"/>
    <w:rsid w:val="0023296F"/>
    <w:rsid w:val="00232F5A"/>
    <w:rsid w:val="00233A65"/>
    <w:rsid w:val="002363B3"/>
    <w:rsid w:val="002366CE"/>
    <w:rsid w:val="00236714"/>
    <w:rsid w:val="002427DA"/>
    <w:rsid w:val="00245115"/>
    <w:rsid w:val="00251683"/>
    <w:rsid w:val="00252012"/>
    <w:rsid w:val="00254211"/>
    <w:rsid w:val="002542F5"/>
    <w:rsid w:val="002553D1"/>
    <w:rsid w:val="00260938"/>
    <w:rsid w:val="00262B6E"/>
    <w:rsid w:val="00263F7F"/>
    <w:rsid w:val="002652E3"/>
    <w:rsid w:val="00273354"/>
    <w:rsid w:val="0027385B"/>
    <w:rsid w:val="00274716"/>
    <w:rsid w:val="00280964"/>
    <w:rsid w:val="00287718"/>
    <w:rsid w:val="002921E9"/>
    <w:rsid w:val="0029501C"/>
    <w:rsid w:val="00295CB1"/>
    <w:rsid w:val="002A1286"/>
    <w:rsid w:val="002A213D"/>
    <w:rsid w:val="002A2364"/>
    <w:rsid w:val="002A3EE2"/>
    <w:rsid w:val="002A4F7F"/>
    <w:rsid w:val="002A5B71"/>
    <w:rsid w:val="002B393B"/>
    <w:rsid w:val="002B47AC"/>
    <w:rsid w:val="002B5604"/>
    <w:rsid w:val="002B5C30"/>
    <w:rsid w:val="002B5F5C"/>
    <w:rsid w:val="002B619F"/>
    <w:rsid w:val="002C0E0B"/>
    <w:rsid w:val="002C1A76"/>
    <w:rsid w:val="002C2B6C"/>
    <w:rsid w:val="002C3720"/>
    <w:rsid w:val="002C59D4"/>
    <w:rsid w:val="002C7342"/>
    <w:rsid w:val="002D076F"/>
    <w:rsid w:val="002D44EF"/>
    <w:rsid w:val="002E0F7F"/>
    <w:rsid w:val="002E2E02"/>
    <w:rsid w:val="002E30CF"/>
    <w:rsid w:val="002F47CB"/>
    <w:rsid w:val="002F561F"/>
    <w:rsid w:val="003010C4"/>
    <w:rsid w:val="00302455"/>
    <w:rsid w:val="00302DEF"/>
    <w:rsid w:val="00303B82"/>
    <w:rsid w:val="00304391"/>
    <w:rsid w:val="003043A5"/>
    <w:rsid w:val="00315CF0"/>
    <w:rsid w:val="003162D7"/>
    <w:rsid w:val="0031748C"/>
    <w:rsid w:val="003224D6"/>
    <w:rsid w:val="00325AE3"/>
    <w:rsid w:val="00332A23"/>
    <w:rsid w:val="003339BD"/>
    <w:rsid w:val="003358CE"/>
    <w:rsid w:val="00336C5B"/>
    <w:rsid w:val="003377C3"/>
    <w:rsid w:val="00340F2B"/>
    <w:rsid w:val="00342852"/>
    <w:rsid w:val="00343051"/>
    <w:rsid w:val="00344D4A"/>
    <w:rsid w:val="00346D7A"/>
    <w:rsid w:val="0035446E"/>
    <w:rsid w:val="00364E65"/>
    <w:rsid w:val="003670F9"/>
    <w:rsid w:val="00367913"/>
    <w:rsid w:val="00375CF0"/>
    <w:rsid w:val="0037712E"/>
    <w:rsid w:val="0038043A"/>
    <w:rsid w:val="0038085F"/>
    <w:rsid w:val="00386513"/>
    <w:rsid w:val="00386D32"/>
    <w:rsid w:val="003879F9"/>
    <w:rsid w:val="00392412"/>
    <w:rsid w:val="00393D1B"/>
    <w:rsid w:val="003950F7"/>
    <w:rsid w:val="00395E88"/>
    <w:rsid w:val="003971B4"/>
    <w:rsid w:val="00397B01"/>
    <w:rsid w:val="003A2D72"/>
    <w:rsid w:val="003A2E21"/>
    <w:rsid w:val="003B0492"/>
    <w:rsid w:val="003B0A2A"/>
    <w:rsid w:val="003B0D54"/>
    <w:rsid w:val="003B4767"/>
    <w:rsid w:val="003C08ED"/>
    <w:rsid w:val="003C2D95"/>
    <w:rsid w:val="003C5DA0"/>
    <w:rsid w:val="003C6A2C"/>
    <w:rsid w:val="003C72B4"/>
    <w:rsid w:val="003D0157"/>
    <w:rsid w:val="003D1A73"/>
    <w:rsid w:val="003D69EB"/>
    <w:rsid w:val="003D7BF9"/>
    <w:rsid w:val="003E0453"/>
    <w:rsid w:val="003E3D33"/>
    <w:rsid w:val="003E43EE"/>
    <w:rsid w:val="003F137A"/>
    <w:rsid w:val="003F63B3"/>
    <w:rsid w:val="003F68C3"/>
    <w:rsid w:val="003F758C"/>
    <w:rsid w:val="004018DB"/>
    <w:rsid w:val="00401C30"/>
    <w:rsid w:val="00406BDE"/>
    <w:rsid w:val="00412084"/>
    <w:rsid w:val="00412AE6"/>
    <w:rsid w:val="0041517D"/>
    <w:rsid w:val="00416135"/>
    <w:rsid w:val="004172C7"/>
    <w:rsid w:val="00426458"/>
    <w:rsid w:val="0042647F"/>
    <w:rsid w:val="00426926"/>
    <w:rsid w:val="004303AE"/>
    <w:rsid w:val="00432CD3"/>
    <w:rsid w:val="00435CDA"/>
    <w:rsid w:val="00435EBC"/>
    <w:rsid w:val="004440E0"/>
    <w:rsid w:val="0044481F"/>
    <w:rsid w:val="00447123"/>
    <w:rsid w:val="00451965"/>
    <w:rsid w:val="0045258B"/>
    <w:rsid w:val="00454837"/>
    <w:rsid w:val="004563BB"/>
    <w:rsid w:val="00456F8A"/>
    <w:rsid w:val="004574C2"/>
    <w:rsid w:val="00463801"/>
    <w:rsid w:val="004657B1"/>
    <w:rsid w:val="0046655D"/>
    <w:rsid w:val="004749D5"/>
    <w:rsid w:val="00482926"/>
    <w:rsid w:val="00484B39"/>
    <w:rsid w:val="004852DD"/>
    <w:rsid w:val="004918F1"/>
    <w:rsid w:val="00493A87"/>
    <w:rsid w:val="00494977"/>
    <w:rsid w:val="0049743C"/>
    <w:rsid w:val="004A7AC5"/>
    <w:rsid w:val="004B2F0E"/>
    <w:rsid w:val="004B7877"/>
    <w:rsid w:val="004C1F57"/>
    <w:rsid w:val="004C330C"/>
    <w:rsid w:val="004C343F"/>
    <w:rsid w:val="004C5E85"/>
    <w:rsid w:val="004C6C4F"/>
    <w:rsid w:val="004C6EDB"/>
    <w:rsid w:val="004D4197"/>
    <w:rsid w:val="004D492B"/>
    <w:rsid w:val="004D4968"/>
    <w:rsid w:val="004D5B0E"/>
    <w:rsid w:val="004D6F52"/>
    <w:rsid w:val="004E0A03"/>
    <w:rsid w:val="004E0DD1"/>
    <w:rsid w:val="004E6D7F"/>
    <w:rsid w:val="004E7E19"/>
    <w:rsid w:val="004F23DA"/>
    <w:rsid w:val="004F3568"/>
    <w:rsid w:val="004F4AA8"/>
    <w:rsid w:val="004F73F2"/>
    <w:rsid w:val="00503239"/>
    <w:rsid w:val="00504DDF"/>
    <w:rsid w:val="00505E3F"/>
    <w:rsid w:val="005079DA"/>
    <w:rsid w:val="00511C1C"/>
    <w:rsid w:val="00512357"/>
    <w:rsid w:val="005123B1"/>
    <w:rsid w:val="0051600F"/>
    <w:rsid w:val="00524D5E"/>
    <w:rsid w:val="005277B9"/>
    <w:rsid w:val="005412B5"/>
    <w:rsid w:val="00541651"/>
    <w:rsid w:val="00542D16"/>
    <w:rsid w:val="0054330A"/>
    <w:rsid w:val="0054343F"/>
    <w:rsid w:val="005451D2"/>
    <w:rsid w:val="00547016"/>
    <w:rsid w:val="0055025B"/>
    <w:rsid w:val="005505CD"/>
    <w:rsid w:val="00550B45"/>
    <w:rsid w:val="005513F7"/>
    <w:rsid w:val="0055794B"/>
    <w:rsid w:val="00557AE8"/>
    <w:rsid w:val="00563454"/>
    <w:rsid w:val="00567289"/>
    <w:rsid w:val="00571274"/>
    <w:rsid w:val="005713F0"/>
    <w:rsid w:val="005714E7"/>
    <w:rsid w:val="00572D09"/>
    <w:rsid w:val="0057352F"/>
    <w:rsid w:val="005813FF"/>
    <w:rsid w:val="00581BAD"/>
    <w:rsid w:val="00587A18"/>
    <w:rsid w:val="00587E98"/>
    <w:rsid w:val="00590FBD"/>
    <w:rsid w:val="005914B0"/>
    <w:rsid w:val="00591E46"/>
    <w:rsid w:val="00596712"/>
    <w:rsid w:val="005967FE"/>
    <w:rsid w:val="005A140D"/>
    <w:rsid w:val="005A4100"/>
    <w:rsid w:val="005A4C8F"/>
    <w:rsid w:val="005A658A"/>
    <w:rsid w:val="005A66A2"/>
    <w:rsid w:val="005B45C3"/>
    <w:rsid w:val="005B75F3"/>
    <w:rsid w:val="005C2096"/>
    <w:rsid w:val="005C585B"/>
    <w:rsid w:val="005D20CD"/>
    <w:rsid w:val="005E0E3A"/>
    <w:rsid w:val="005E1164"/>
    <w:rsid w:val="005E1338"/>
    <w:rsid w:val="005E166E"/>
    <w:rsid w:val="005E4756"/>
    <w:rsid w:val="005E4B74"/>
    <w:rsid w:val="005E5CB0"/>
    <w:rsid w:val="005F0F57"/>
    <w:rsid w:val="005F2F1A"/>
    <w:rsid w:val="005F434D"/>
    <w:rsid w:val="005F58DE"/>
    <w:rsid w:val="00612F76"/>
    <w:rsid w:val="006154EC"/>
    <w:rsid w:val="0061591C"/>
    <w:rsid w:val="006237FE"/>
    <w:rsid w:val="006255CD"/>
    <w:rsid w:val="006352AE"/>
    <w:rsid w:val="00647779"/>
    <w:rsid w:val="006478E2"/>
    <w:rsid w:val="006501EA"/>
    <w:rsid w:val="00651833"/>
    <w:rsid w:val="0065206B"/>
    <w:rsid w:val="006540E4"/>
    <w:rsid w:val="00655271"/>
    <w:rsid w:val="00655AE3"/>
    <w:rsid w:val="006600FB"/>
    <w:rsid w:val="006610A8"/>
    <w:rsid w:val="00661200"/>
    <w:rsid w:val="00673417"/>
    <w:rsid w:val="0067407E"/>
    <w:rsid w:val="00675EF0"/>
    <w:rsid w:val="00675F3A"/>
    <w:rsid w:val="00676E47"/>
    <w:rsid w:val="006771FD"/>
    <w:rsid w:val="00685E39"/>
    <w:rsid w:val="00693F8F"/>
    <w:rsid w:val="00697F8E"/>
    <w:rsid w:val="006A4D2C"/>
    <w:rsid w:val="006A6847"/>
    <w:rsid w:val="006A768C"/>
    <w:rsid w:val="006B0658"/>
    <w:rsid w:val="006B308D"/>
    <w:rsid w:val="006B4759"/>
    <w:rsid w:val="006B4873"/>
    <w:rsid w:val="006B5ECE"/>
    <w:rsid w:val="006C243C"/>
    <w:rsid w:val="006D0E43"/>
    <w:rsid w:val="006D17A4"/>
    <w:rsid w:val="006D1D6A"/>
    <w:rsid w:val="006D28E9"/>
    <w:rsid w:val="006D3666"/>
    <w:rsid w:val="006D5540"/>
    <w:rsid w:val="006D5855"/>
    <w:rsid w:val="006D7964"/>
    <w:rsid w:val="006E0851"/>
    <w:rsid w:val="006E1A58"/>
    <w:rsid w:val="006E2AD1"/>
    <w:rsid w:val="006E2DDF"/>
    <w:rsid w:val="006E44C7"/>
    <w:rsid w:val="006E60F7"/>
    <w:rsid w:val="006E7516"/>
    <w:rsid w:val="006F4891"/>
    <w:rsid w:val="006F76BF"/>
    <w:rsid w:val="00703B19"/>
    <w:rsid w:val="00703FEA"/>
    <w:rsid w:val="00705187"/>
    <w:rsid w:val="00705F8C"/>
    <w:rsid w:val="00706976"/>
    <w:rsid w:val="00706C85"/>
    <w:rsid w:val="007109A1"/>
    <w:rsid w:val="0071338C"/>
    <w:rsid w:val="00716FA8"/>
    <w:rsid w:val="007208A1"/>
    <w:rsid w:val="00725908"/>
    <w:rsid w:val="00730326"/>
    <w:rsid w:val="007322FC"/>
    <w:rsid w:val="00732546"/>
    <w:rsid w:val="00734875"/>
    <w:rsid w:val="00734F6F"/>
    <w:rsid w:val="00735872"/>
    <w:rsid w:val="00746029"/>
    <w:rsid w:val="00747D23"/>
    <w:rsid w:val="00753E75"/>
    <w:rsid w:val="00757DA0"/>
    <w:rsid w:val="0076428C"/>
    <w:rsid w:val="007667D0"/>
    <w:rsid w:val="00770E24"/>
    <w:rsid w:val="0078053F"/>
    <w:rsid w:val="00780FED"/>
    <w:rsid w:val="00781A35"/>
    <w:rsid w:val="0078220F"/>
    <w:rsid w:val="00782FF4"/>
    <w:rsid w:val="00783258"/>
    <w:rsid w:val="007850B6"/>
    <w:rsid w:val="007856A6"/>
    <w:rsid w:val="007906F7"/>
    <w:rsid w:val="00792F08"/>
    <w:rsid w:val="00793756"/>
    <w:rsid w:val="00794829"/>
    <w:rsid w:val="00797498"/>
    <w:rsid w:val="007B137C"/>
    <w:rsid w:val="007B1DD9"/>
    <w:rsid w:val="007B2FE6"/>
    <w:rsid w:val="007C120A"/>
    <w:rsid w:val="007D0F34"/>
    <w:rsid w:val="007D39DF"/>
    <w:rsid w:val="007E0260"/>
    <w:rsid w:val="007E6289"/>
    <w:rsid w:val="007F274E"/>
    <w:rsid w:val="007F3DB0"/>
    <w:rsid w:val="007F4047"/>
    <w:rsid w:val="007F495E"/>
    <w:rsid w:val="007F6F61"/>
    <w:rsid w:val="00802D44"/>
    <w:rsid w:val="00803A24"/>
    <w:rsid w:val="00806614"/>
    <w:rsid w:val="008078E4"/>
    <w:rsid w:val="008079CC"/>
    <w:rsid w:val="00807EF4"/>
    <w:rsid w:val="00811AB6"/>
    <w:rsid w:val="00816A51"/>
    <w:rsid w:val="00817715"/>
    <w:rsid w:val="0082316F"/>
    <w:rsid w:val="0083553F"/>
    <w:rsid w:val="008357AB"/>
    <w:rsid w:val="0085105A"/>
    <w:rsid w:val="008515CC"/>
    <w:rsid w:val="00855A38"/>
    <w:rsid w:val="0085673B"/>
    <w:rsid w:val="008579D7"/>
    <w:rsid w:val="0086320B"/>
    <w:rsid w:val="008634DB"/>
    <w:rsid w:val="00863901"/>
    <w:rsid w:val="00865FF2"/>
    <w:rsid w:val="00867B3B"/>
    <w:rsid w:val="00872EFA"/>
    <w:rsid w:val="00873A75"/>
    <w:rsid w:val="00873FC6"/>
    <w:rsid w:val="008741EE"/>
    <w:rsid w:val="008802DF"/>
    <w:rsid w:val="00880815"/>
    <w:rsid w:val="00882CE8"/>
    <w:rsid w:val="008836F3"/>
    <w:rsid w:val="00883EFB"/>
    <w:rsid w:val="008850B9"/>
    <w:rsid w:val="0089584E"/>
    <w:rsid w:val="00896163"/>
    <w:rsid w:val="008A233D"/>
    <w:rsid w:val="008A286F"/>
    <w:rsid w:val="008A2F6B"/>
    <w:rsid w:val="008A6786"/>
    <w:rsid w:val="008B048E"/>
    <w:rsid w:val="008B225D"/>
    <w:rsid w:val="008B4A48"/>
    <w:rsid w:val="008B4C8E"/>
    <w:rsid w:val="008C5209"/>
    <w:rsid w:val="008C53AA"/>
    <w:rsid w:val="008C6EC4"/>
    <w:rsid w:val="008C78E5"/>
    <w:rsid w:val="008D1292"/>
    <w:rsid w:val="008D2FE6"/>
    <w:rsid w:val="008E24CC"/>
    <w:rsid w:val="008E4206"/>
    <w:rsid w:val="008E523D"/>
    <w:rsid w:val="008E64BA"/>
    <w:rsid w:val="008E6C01"/>
    <w:rsid w:val="008F1D5E"/>
    <w:rsid w:val="008F2662"/>
    <w:rsid w:val="008F47D7"/>
    <w:rsid w:val="00903D62"/>
    <w:rsid w:val="009068F0"/>
    <w:rsid w:val="00906DC3"/>
    <w:rsid w:val="0090718C"/>
    <w:rsid w:val="0091396C"/>
    <w:rsid w:val="009147FE"/>
    <w:rsid w:val="00915B2C"/>
    <w:rsid w:val="009217A1"/>
    <w:rsid w:val="00922732"/>
    <w:rsid w:val="009227B1"/>
    <w:rsid w:val="009267ED"/>
    <w:rsid w:val="0092773F"/>
    <w:rsid w:val="00934FD7"/>
    <w:rsid w:val="00937769"/>
    <w:rsid w:val="009416CA"/>
    <w:rsid w:val="00941E42"/>
    <w:rsid w:val="0094215F"/>
    <w:rsid w:val="009424FB"/>
    <w:rsid w:val="00946B84"/>
    <w:rsid w:val="0095274B"/>
    <w:rsid w:val="00957003"/>
    <w:rsid w:val="00957C65"/>
    <w:rsid w:val="0096111C"/>
    <w:rsid w:val="00965583"/>
    <w:rsid w:val="00967141"/>
    <w:rsid w:val="00972483"/>
    <w:rsid w:val="009727EC"/>
    <w:rsid w:val="00973680"/>
    <w:rsid w:val="00973F1E"/>
    <w:rsid w:val="009757BF"/>
    <w:rsid w:val="00976342"/>
    <w:rsid w:val="009764C8"/>
    <w:rsid w:val="00977D78"/>
    <w:rsid w:val="00982CA6"/>
    <w:rsid w:val="00991103"/>
    <w:rsid w:val="00991767"/>
    <w:rsid w:val="00997264"/>
    <w:rsid w:val="009A2E19"/>
    <w:rsid w:val="009A2EC9"/>
    <w:rsid w:val="009A68D5"/>
    <w:rsid w:val="009A6E5B"/>
    <w:rsid w:val="009B091B"/>
    <w:rsid w:val="009B2FD5"/>
    <w:rsid w:val="009B4CBF"/>
    <w:rsid w:val="009B6820"/>
    <w:rsid w:val="009B7251"/>
    <w:rsid w:val="009B7CAE"/>
    <w:rsid w:val="009D22BE"/>
    <w:rsid w:val="009D2A16"/>
    <w:rsid w:val="009D2C35"/>
    <w:rsid w:val="009D57CA"/>
    <w:rsid w:val="009D69D7"/>
    <w:rsid w:val="009E3BC8"/>
    <w:rsid w:val="009E59FF"/>
    <w:rsid w:val="009F223F"/>
    <w:rsid w:val="009F2878"/>
    <w:rsid w:val="00A02537"/>
    <w:rsid w:val="00A03145"/>
    <w:rsid w:val="00A03A1D"/>
    <w:rsid w:val="00A06392"/>
    <w:rsid w:val="00A06F72"/>
    <w:rsid w:val="00A12660"/>
    <w:rsid w:val="00A12F2C"/>
    <w:rsid w:val="00A140BA"/>
    <w:rsid w:val="00A1728B"/>
    <w:rsid w:val="00A26D5F"/>
    <w:rsid w:val="00A27AEE"/>
    <w:rsid w:val="00A30478"/>
    <w:rsid w:val="00A3356E"/>
    <w:rsid w:val="00A33920"/>
    <w:rsid w:val="00A40030"/>
    <w:rsid w:val="00A4160E"/>
    <w:rsid w:val="00A41BE8"/>
    <w:rsid w:val="00A4201D"/>
    <w:rsid w:val="00A51D13"/>
    <w:rsid w:val="00A52758"/>
    <w:rsid w:val="00A57EAA"/>
    <w:rsid w:val="00A626B2"/>
    <w:rsid w:val="00A63540"/>
    <w:rsid w:val="00A6440D"/>
    <w:rsid w:val="00A65459"/>
    <w:rsid w:val="00A6708C"/>
    <w:rsid w:val="00A73004"/>
    <w:rsid w:val="00A73416"/>
    <w:rsid w:val="00A766BE"/>
    <w:rsid w:val="00A76B8C"/>
    <w:rsid w:val="00A802D7"/>
    <w:rsid w:val="00A8040D"/>
    <w:rsid w:val="00A92E38"/>
    <w:rsid w:val="00A93D3A"/>
    <w:rsid w:val="00A94B90"/>
    <w:rsid w:val="00A95823"/>
    <w:rsid w:val="00AA0E48"/>
    <w:rsid w:val="00AA2080"/>
    <w:rsid w:val="00AA6DBA"/>
    <w:rsid w:val="00AA6FE3"/>
    <w:rsid w:val="00AB2A54"/>
    <w:rsid w:val="00AB2FDC"/>
    <w:rsid w:val="00AB5D2F"/>
    <w:rsid w:val="00AC0F9D"/>
    <w:rsid w:val="00AC222A"/>
    <w:rsid w:val="00AC5B14"/>
    <w:rsid w:val="00AC6CBC"/>
    <w:rsid w:val="00AD039E"/>
    <w:rsid w:val="00AD2B15"/>
    <w:rsid w:val="00AD2BC9"/>
    <w:rsid w:val="00AD64AD"/>
    <w:rsid w:val="00AD67FE"/>
    <w:rsid w:val="00AD724B"/>
    <w:rsid w:val="00AD79FA"/>
    <w:rsid w:val="00AE125A"/>
    <w:rsid w:val="00AE1B7A"/>
    <w:rsid w:val="00AE21A2"/>
    <w:rsid w:val="00AE3747"/>
    <w:rsid w:val="00AE78C1"/>
    <w:rsid w:val="00AF3921"/>
    <w:rsid w:val="00AF74DE"/>
    <w:rsid w:val="00B00E4A"/>
    <w:rsid w:val="00B02603"/>
    <w:rsid w:val="00B02BCF"/>
    <w:rsid w:val="00B0544C"/>
    <w:rsid w:val="00B0650B"/>
    <w:rsid w:val="00B22CE2"/>
    <w:rsid w:val="00B23FEA"/>
    <w:rsid w:val="00B2409A"/>
    <w:rsid w:val="00B30BC0"/>
    <w:rsid w:val="00B328AB"/>
    <w:rsid w:val="00B36A7A"/>
    <w:rsid w:val="00B41F33"/>
    <w:rsid w:val="00B45E83"/>
    <w:rsid w:val="00B475FC"/>
    <w:rsid w:val="00B5136B"/>
    <w:rsid w:val="00B5324C"/>
    <w:rsid w:val="00B54F1E"/>
    <w:rsid w:val="00B56E59"/>
    <w:rsid w:val="00B64F06"/>
    <w:rsid w:val="00B65189"/>
    <w:rsid w:val="00B70D40"/>
    <w:rsid w:val="00B7595F"/>
    <w:rsid w:val="00B77CAB"/>
    <w:rsid w:val="00B80AE5"/>
    <w:rsid w:val="00B81832"/>
    <w:rsid w:val="00B86ACE"/>
    <w:rsid w:val="00B878E5"/>
    <w:rsid w:val="00B87E27"/>
    <w:rsid w:val="00B90054"/>
    <w:rsid w:val="00B941EF"/>
    <w:rsid w:val="00B9568B"/>
    <w:rsid w:val="00BA3B0E"/>
    <w:rsid w:val="00BA5EFB"/>
    <w:rsid w:val="00BA6FE5"/>
    <w:rsid w:val="00BB0D6D"/>
    <w:rsid w:val="00BB0E1D"/>
    <w:rsid w:val="00BB3495"/>
    <w:rsid w:val="00BB3BBF"/>
    <w:rsid w:val="00BC0984"/>
    <w:rsid w:val="00BC333B"/>
    <w:rsid w:val="00BC36EC"/>
    <w:rsid w:val="00BC6E47"/>
    <w:rsid w:val="00BC7114"/>
    <w:rsid w:val="00BC7DF7"/>
    <w:rsid w:val="00BD04A6"/>
    <w:rsid w:val="00BD1416"/>
    <w:rsid w:val="00BD27D8"/>
    <w:rsid w:val="00BD3CF1"/>
    <w:rsid w:val="00BD6490"/>
    <w:rsid w:val="00BD7453"/>
    <w:rsid w:val="00BE081F"/>
    <w:rsid w:val="00BE2381"/>
    <w:rsid w:val="00BE33CD"/>
    <w:rsid w:val="00BE72DF"/>
    <w:rsid w:val="00BF0F5F"/>
    <w:rsid w:val="00BF57B6"/>
    <w:rsid w:val="00BF5C80"/>
    <w:rsid w:val="00BF6165"/>
    <w:rsid w:val="00C00142"/>
    <w:rsid w:val="00C013D3"/>
    <w:rsid w:val="00C018FC"/>
    <w:rsid w:val="00C02392"/>
    <w:rsid w:val="00C109AC"/>
    <w:rsid w:val="00C11248"/>
    <w:rsid w:val="00C13CB9"/>
    <w:rsid w:val="00C1424E"/>
    <w:rsid w:val="00C143AC"/>
    <w:rsid w:val="00C15728"/>
    <w:rsid w:val="00C16F91"/>
    <w:rsid w:val="00C233D3"/>
    <w:rsid w:val="00C245FC"/>
    <w:rsid w:val="00C24A4C"/>
    <w:rsid w:val="00C26046"/>
    <w:rsid w:val="00C26704"/>
    <w:rsid w:val="00C26E08"/>
    <w:rsid w:val="00C3141A"/>
    <w:rsid w:val="00C33A50"/>
    <w:rsid w:val="00C34242"/>
    <w:rsid w:val="00C4088E"/>
    <w:rsid w:val="00C41DD6"/>
    <w:rsid w:val="00C429F3"/>
    <w:rsid w:val="00C43F71"/>
    <w:rsid w:val="00C4417C"/>
    <w:rsid w:val="00C5314B"/>
    <w:rsid w:val="00C55473"/>
    <w:rsid w:val="00C57467"/>
    <w:rsid w:val="00C622AC"/>
    <w:rsid w:val="00C65288"/>
    <w:rsid w:val="00C718A8"/>
    <w:rsid w:val="00C73912"/>
    <w:rsid w:val="00C75149"/>
    <w:rsid w:val="00C80C00"/>
    <w:rsid w:val="00C814ED"/>
    <w:rsid w:val="00C818BF"/>
    <w:rsid w:val="00C90CE3"/>
    <w:rsid w:val="00C90E21"/>
    <w:rsid w:val="00C94C39"/>
    <w:rsid w:val="00CA2AC0"/>
    <w:rsid w:val="00CA3DA7"/>
    <w:rsid w:val="00CA4C90"/>
    <w:rsid w:val="00CA59CD"/>
    <w:rsid w:val="00CA6361"/>
    <w:rsid w:val="00CB046B"/>
    <w:rsid w:val="00CB4CB1"/>
    <w:rsid w:val="00CB6E25"/>
    <w:rsid w:val="00CB7F21"/>
    <w:rsid w:val="00CC24C8"/>
    <w:rsid w:val="00CC638C"/>
    <w:rsid w:val="00CD072D"/>
    <w:rsid w:val="00CD0B6B"/>
    <w:rsid w:val="00CD2EE1"/>
    <w:rsid w:val="00CE04BD"/>
    <w:rsid w:val="00CE158C"/>
    <w:rsid w:val="00CE29AC"/>
    <w:rsid w:val="00CE3FD4"/>
    <w:rsid w:val="00CE4C3C"/>
    <w:rsid w:val="00CF076E"/>
    <w:rsid w:val="00CF1EA6"/>
    <w:rsid w:val="00CF5E9F"/>
    <w:rsid w:val="00CF769B"/>
    <w:rsid w:val="00D00C5A"/>
    <w:rsid w:val="00D05266"/>
    <w:rsid w:val="00D0670D"/>
    <w:rsid w:val="00D06A29"/>
    <w:rsid w:val="00D06B72"/>
    <w:rsid w:val="00D07281"/>
    <w:rsid w:val="00D10E90"/>
    <w:rsid w:val="00D15672"/>
    <w:rsid w:val="00D25593"/>
    <w:rsid w:val="00D26964"/>
    <w:rsid w:val="00D26CC7"/>
    <w:rsid w:val="00D35368"/>
    <w:rsid w:val="00D379FF"/>
    <w:rsid w:val="00D420C8"/>
    <w:rsid w:val="00D42A19"/>
    <w:rsid w:val="00D45205"/>
    <w:rsid w:val="00D460C7"/>
    <w:rsid w:val="00D46AF1"/>
    <w:rsid w:val="00D5763A"/>
    <w:rsid w:val="00D606C3"/>
    <w:rsid w:val="00D60895"/>
    <w:rsid w:val="00D60D35"/>
    <w:rsid w:val="00D616BB"/>
    <w:rsid w:val="00D63A14"/>
    <w:rsid w:val="00D642DD"/>
    <w:rsid w:val="00D6558A"/>
    <w:rsid w:val="00D756D6"/>
    <w:rsid w:val="00D7595A"/>
    <w:rsid w:val="00D7601B"/>
    <w:rsid w:val="00D829E3"/>
    <w:rsid w:val="00D914D1"/>
    <w:rsid w:val="00D925CC"/>
    <w:rsid w:val="00D935ED"/>
    <w:rsid w:val="00DA2D0F"/>
    <w:rsid w:val="00DA47AC"/>
    <w:rsid w:val="00DA57A6"/>
    <w:rsid w:val="00DA6FC4"/>
    <w:rsid w:val="00DA7509"/>
    <w:rsid w:val="00DB081B"/>
    <w:rsid w:val="00DC4141"/>
    <w:rsid w:val="00DC4BAD"/>
    <w:rsid w:val="00DC66A8"/>
    <w:rsid w:val="00DC77AF"/>
    <w:rsid w:val="00DD017F"/>
    <w:rsid w:val="00DD24A0"/>
    <w:rsid w:val="00DD42D5"/>
    <w:rsid w:val="00DD7321"/>
    <w:rsid w:val="00DE24AA"/>
    <w:rsid w:val="00DE5C16"/>
    <w:rsid w:val="00DE7AD7"/>
    <w:rsid w:val="00DF0A20"/>
    <w:rsid w:val="00DF20A5"/>
    <w:rsid w:val="00DF2891"/>
    <w:rsid w:val="00DF2B4E"/>
    <w:rsid w:val="00DF3C45"/>
    <w:rsid w:val="00DF42E4"/>
    <w:rsid w:val="00E01040"/>
    <w:rsid w:val="00E019BA"/>
    <w:rsid w:val="00E06FC4"/>
    <w:rsid w:val="00E137FC"/>
    <w:rsid w:val="00E1720D"/>
    <w:rsid w:val="00E17CE7"/>
    <w:rsid w:val="00E23519"/>
    <w:rsid w:val="00E25E78"/>
    <w:rsid w:val="00E26B18"/>
    <w:rsid w:val="00E27E76"/>
    <w:rsid w:val="00E30078"/>
    <w:rsid w:val="00E30711"/>
    <w:rsid w:val="00E31227"/>
    <w:rsid w:val="00E31FF2"/>
    <w:rsid w:val="00E4247A"/>
    <w:rsid w:val="00E43975"/>
    <w:rsid w:val="00E453E1"/>
    <w:rsid w:val="00E46D9A"/>
    <w:rsid w:val="00E47391"/>
    <w:rsid w:val="00E476DD"/>
    <w:rsid w:val="00E574F6"/>
    <w:rsid w:val="00E57BBC"/>
    <w:rsid w:val="00E62DA0"/>
    <w:rsid w:val="00E715DC"/>
    <w:rsid w:val="00E720C5"/>
    <w:rsid w:val="00E736DD"/>
    <w:rsid w:val="00E749CF"/>
    <w:rsid w:val="00E751D8"/>
    <w:rsid w:val="00E76BC4"/>
    <w:rsid w:val="00E9456F"/>
    <w:rsid w:val="00E94B05"/>
    <w:rsid w:val="00E95D75"/>
    <w:rsid w:val="00E974B3"/>
    <w:rsid w:val="00EB0282"/>
    <w:rsid w:val="00EB0395"/>
    <w:rsid w:val="00EB0AB5"/>
    <w:rsid w:val="00EB1580"/>
    <w:rsid w:val="00EB3DF3"/>
    <w:rsid w:val="00EC1BBC"/>
    <w:rsid w:val="00EC4309"/>
    <w:rsid w:val="00EC453D"/>
    <w:rsid w:val="00EC506F"/>
    <w:rsid w:val="00EC5088"/>
    <w:rsid w:val="00EC7A81"/>
    <w:rsid w:val="00ED0774"/>
    <w:rsid w:val="00ED1D96"/>
    <w:rsid w:val="00ED280D"/>
    <w:rsid w:val="00EE0B04"/>
    <w:rsid w:val="00EE1A74"/>
    <w:rsid w:val="00EE4320"/>
    <w:rsid w:val="00EE4544"/>
    <w:rsid w:val="00EE49E8"/>
    <w:rsid w:val="00EE6B98"/>
    <w:rsid w:val="00EF2588"/>
    <w:rsid w:val="00EF2EDD"/>
    <w:rsid w:val="00EF5E02"/>
    <w:rsid w:val="00EF67C1"/>
    <w:rsid w:val="00EF6EBB"/>
    <w:rsid w:val="00EF7268"/>
    <w:rsid w:val="00EF75F6"/>
    <w:rsid w:val="00F01535"/>
    <w:rsid w:val="00F01C5D"/>
    <w:rsid w:val="00F020A9"/>
    <w:rsid w:val="00F07445"/>
    <w:rsid w:val="00F11BF2"/>
    <w:rsid w:val="00F12ACB"/>
    <w:rsid w:val="00F14864"/>
    <w:rsid w:val="00F15D9E"/>
    <w:rsid w:val="00F214A0"/>
    <w:rsid w:val="00F233C1"/>
    <w:rsid w:val="00F33E92"/>
    <w:rsid w:val="00F4378E"/>
    <w:rsid w:val="00F500B7"/>
    <w:rsid w:val="00F53018"/>
    <w:rsid w:val="00F539BC"/>
    <w:rsid w:val="00F611BC"/>
    <w:rsid w:val="00F61B44"/>
    <w:rsid w:val="00F6292C"/>
    <w:rsid w:val="00F66D20"/>
    <w:rsid w:val="00F73728"/>
    <w:rsid w:val="00F74A53"/>
    <w:rsid w:val="00F74B5A"/>
    <w:rsid w:val="00F7724D"/>
    <w:rsid w:val="00F862E6"/>
    <w:rsid w:val="00F86856"/>
    <w:rsid w:val="00F878A8"/>
    <w:rsid w:val="00F920E8"/>
    <w:rsid w:val="00F92F87"/>
    <w:rsid w:val="00F952F2"/>
    <w:rsid w:val="00FA140A"/>
    <w:rsid w:val="00FA308D"/>
    <w:rsid w:val="00FA48A7"/>
    <w:rsid w:val="00FA5EDD"/>
    <w:rsid w:val="00FB13E3"/>
    <w:rsid w:val="00FB1939"/>
    <w:rsid w:val="00FB26E8"/>
    <w:rsid w:val="00FB3900"/>
    <w:rsid w:val="00FB4655"/>
    <w:rsid w:val="00FB7017"/>
    <w:rsid w:val="00FC2EE5"/>
    <w:rsid w:val="00FC429A"/>
    <w:rsid w:val="00FC4A78"/>
    <w:rsid w:val="00FD3662"/>
    <w:rsid w:val="00FD4046"/>
    <w:rsid w:val="00FD6EE9"/>
    <w:rsid w:val="00FD7C58"/>
    <w:rsid w:val="00FE13AD"/>
    <w:rsid w:val="00FE22A6"/>
    <w:rsid w:val="00FF0397"/>
    <w:rsid w:val="00FF0640"/>
    <w:rsid w:val="00FF0787"/>
    <w:rsid w:val="00FF1BF7"/>
    <w:rsid w:val="00FF238B"/>
    <w:rsid w:val="00FF46AE"/>
    <w:rsid w:val="00FF5120"/>
    <w:rsid w:val="00FF7CCE"/>
    <w:rsid w:val="034E0C80"/>
    <w:rsid w:val="0AE4668E"/>
    <w:rsid w:val="162F559E"/>
    <w:rsid w:val="50ED3E64"/>
    <w:rsid w:val="60F6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line="360" w:lineRule="auto"/>
      <w:outlineLvl w:val="0"/>
    </w:pPr>
    <w:rPr>
      <w:rFonts w:eastAsia="宋体"/>
      <w:b/>
      <w:bCs/>
      <w:kern w:val="44"/>
      <w:sz w:val="28"/>
      <w:szCs w:val="44"/>
    </w:rPr>
  </w:style>
  <w:style w:type="paragraph" w:styleId="4">
    <w:name w:val="heading 2"/>
    <w:basedOn w:val="1"/>
    <w:next w:val="1"/>
    <w:link w:val="22"/>
    <w:unhideWhenUsed/>
    <w:qFormat/>
    <w:uiPriority w:val="9"/>
    <w:pPr>
      <w:keepNext/>
      <w:keepLines/>
      <w:spacing w:line="360" w:lineRule="auto"/>
      <w:outlineLvl w:val="1"/>
    </w:pPr>
    <w:rPr>
      <w:rFonts w:eastAsia="宋体" w:asciiTheme="majorHAnsi" w:hAnsiTheme="majorHAnsi" w:cstheme="majorBidi"/>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annotation text"/>
    <w:basedOn w:val="1"/>
    <w:link w:val="26"/>
    <w:semiHidden/>
    <w:unhideWhenUsed/>
    <w:qFormat/>
    <w:uiPriority w:val="99"/>
    <w:pPr>
      <w:jc w:val="left"/>
    </w:pPr>
  </w:style>
  <w:style w:type="paragraph" w:styleId="6">
    <w:name w:val="Balloon Text"/>
    <w:basedOn w:val="1"/>
    <w:link w:val="20"/>
    <w:semiHidden/>
    <w:unhideWhenUsed/>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annotation subject"/>
    <w:basedOn w:val="5"/>
    <w:next w:val="5"/>
    <w:link w:val="27"/>
    <w:semiHidden/>
    <w:unhideWhenUsed/>
    <w:qFormat/>
    <w:uiPriority w:val="99"/>
    <w:rPr>
      <w:b/>
      <w:bCs/>
    </w:rPr>
  </w:style>
  <w:style w:type="table" w:styleId="12">
    <w:name w:val="Table Grid"/>
    <w:basedOn w:val="11"/>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批注框文本 字符"/>
    <w:basedOn w:val="13"/>
    <w:link w:val="6"/>
    <w:semiHidden/>
    <w:qFormat/>
    <w:uiPriority w:val="99"/>
    <w:rPr>
      <w:sz w:val="18"/>
      <w:szCs w:val="18"/>
    </w:rPr>
  </w:style>
  <w:style w:type="character" w:customStyle="1" w:styleId="21">
    <w:name w:val="标题 1 字符"/>
    <w:basedOn w:val="13"/>
    <w:link w:val="3"/>
    <w:qFormat/>
    <w:uiPriority w:val="9"/>
    <w:rPr>
      <w:rFonts w:eastAsia="宋体"/>
      <w:b/>
      <w:bCs/>
      <w:kern w:val="44"/>
      <w:sz w:val="28"/>
      <w:szCs w:val="44"/>
    </w:rPr>
  </w:style>
  <w:style w:type="character" w:customStyle="1" w:styleId="22">
    <w:name w:val="标题 2 字符"/>
    <w:basedOn w:val="13"/>
    <w:link w:val="4"/>
    <w:qFormat/>
    <w:uiPriority w:val="9"/>
    <w:rPr>
      <w:rFonts w:eastAsia="宋体" w:asciiTheme="majorHAnsi" w:hAnsiTheme="majorHAnsi" w:cstheme="majorBidi"/>
      <w:b/>
      <w:bCs/>
      <w:sz w:val="24"/>
      <w:szCs w:val="32"/>
    </w:rPr>
  </w:style>
  <w:style w:type="paragraph" w:customStyle="1" w:styleId="23">
    <w:name w:val="字元 字元"/>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24">
    <w:name w:val="招股书正文1"/>
    <w:basedOn w:val="1"/>
    <w:link w:val="25"/>
    <w:qFormat/>
    <w:uiPriority w:val="0"/>
    <w:pPr>
      <w:adjustRightInd w:val="0"/>
      <w:spacing w:before="156" w:beforeLines="50" w:after="156" w:afterLines="50" w:line="360" w:lineRule="auto"/>
      <w:ind w:firstLine="480" w:firstLineChars="200"/>
    </w:pPr>
    <w:rPr>
      <w:rFonts w:ascii="Times New Roman" w:hAnsi="Times New Roman" w:eastAsia="宋体" w:cs="Times New Roman"/>
      <w:sz w:val="24"/>
    </w:rPr>
  </w:style>
  <w:style w:type="character" w:customStyle="1" w:styleId="25">
    <w:name w:val="招股书正文1 字符"/>
    <w:link w:val="24"/>
    <w:qFormat/>
    <w:uiPriority w:val="0"/>
    <w:rPr>
      <w:rFonts w:ascii="Times New Roman" w:hAnsi="Times New Roman" w:eastAsia="宋体" w:cs="Times New Roman"/>
      <w:sz w:val="24"/>
    </w:rPr>
  </w:style>
  <w:style w:type="character" w:customStyle="1" w:styleId="26">
    <w:name w:val="批注文字 字符"/>
    <w:basedOn w:val="13"/>
    <w:link w:val="5"/>
    <w:semiHidden/>
    <w:qFormat/>
    <w:uiPriority w:val="99"/>
  </w:style>
  <w:style w:type="character" w:customStyle="1" w:styleId="27">
    <w:name w:val="批注主题 字符"/>
    <w:basedOn w:val="26"/>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D377-59F1-4A01-BC33-0B03BCA7BC21}">
  <ds:schemaRefs/>
</ds:datastoreItem>
</file>

<file path=docProps/app.xml><?xml version="1.0" encoding="utf-8"?>
<Properties xmlns="http://schemas.openxmlformats.org/officeDocument/2006/extended-properties" xmlns:vt="http://schemas.openxmlformats.org/officeDocument/2006/docPropsVTypes">
  <Template>Normal</Template>
  <Pages>12</Pages>
  <Words>5282</Words>
  <Characters>5431</Characters>
  <Lines>439</Lines>
  <Paragraphs>492</Paragraphs>
  <TotalTime>31</TotalTime>
  <ScaleCrop>false</ScaleCrop>
  <LinksUpToDate>false</LinksUpToDate>
  <CharactersWithSpaces>5543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2018-10-22T02:49:00Z</dcterms:created>
  <dc:creator>Xhyu 向洪玉</dc:creator>
  <cp:lastModifiedBy>张俭</cp:lastModifiedBy>
  <cp:lastPrinted>2018-11-14T02:33:00Z</cp:lastPrinted>
  <dcterms:modified xsi:type="dcterms:W3CDTF">2025-05-22T01:43:12Z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eyJoZGlkIjoiNWU3NjBjZGI4NjMwYTNjNmYzNWI2YzRjYzg0MDkyZTUiLCJ1c2VySWQiOiIzMTM3Nzg3MTQifQ==</vt:lpwstr>
  </property>
  <property fmtid="{D5CDD505-2E9C-101B-9397-08002B2CF9AE}" pid="3" name="KSOProductBuildVer">
    <vt:lpwstr>2052-12.1.0.21171</vt:lpwstr>
  </property>
  <property fmtid="{D5CDD505-2E9C-101B-9397-08002B2CF9AE}" pid="4" name="ICV">
    <vt:lpwstr>8903C3B90734414A92BD45145B24D500_12</vt:lpwstr>
  </property>
</Properties>
</file>